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A1591" w14:textId="084A4CB4" w:rsidR="00145A17" w:rsidRPr="00CD7530" w:rsidRDefault="00145A17" w:rsidP="00CD7530">
      <w:pPr>
        <w:spacing w:after="0" w:line="276" w:lineRule="auto"/>
        <w:jc w:val="center"/>
        <w:rPr>
          <w:rFonts w:ascii="Arial" w:hAnsi="Arial" w:cs="Arial"/>
          <w:b/>
        </w:rPr>
      </w:pPr>
      <w:bookmarkStart w:id="0" w:name="_GoBack"/>
      <w:bookmarkEnd w:id="0"/>
      <w:r w:rsidRPr="00CD7530">
        <w:rPr>
          <w:rFonts w:ascii="Arial" w:hAnsi="Arial" w:cs="Arial"/>
          <w:b/>
        </w:rPr>
        <w:t>Anexo N°</w:t>
      </w:r>
      <w:r w:rsidR="000945E5">
        <w:rPr>
          <w:rFonts w:ascii="Arial" w:hAnsi="Arial" w:cs="Arial"/>
          <w:b/>
        </w:rPr>
        <w:t>6</w:t>
      </w:r>
    </w:p>
    <w:p w14:paraId="23AA3C1C" w14:textId="77777777" w:rsidR="00145A17" w:rsidRPr="00CD7530" w:rsidRDefault="00145A17" w:rsidP="00CD7530">
      <w:pPr>
        <w:spacing w:after="0" w:line="276" w:lineRule="auto"/>
        <w:jc w:val="center"/>
        <w:rPr>
          <w:rFonts w:ascii="Arial" w:hAnsi="Arial" w:cs="Arial"/>
        </w:rPr>
      </w:pPr>
      <w:r w:rsidRPr="00CD7530">
        <w:rPr>
          <w:rFonts w:ascii="Arial" w:hAnsi="Arial" w:cs="Arial"/>
          <w:b/>
        </w:rPr>
        <w:t>Sobre el Proceso de Emisión de Títulos Valores mediante Oferta Pública (Titularización)</w:t>
      </w:r>
    </w:p>
    <w:p w14:paraId="54D0CF3E" w14:textId="2E20C3F8" w:rsidR="00145A17" w:rsidRDefault="00145A17" w:rsidP="00CD7530">
      <w:pPr>
        <w:spacing w:after="0" w:line="276" w:lineRule="auto"/>
        <w:jc w:val="both"/>
        <w:rPr>
          <w:rFonts w:ascii="Arial" w:hAnsi="Arial" w:cs="Arial"/>
        </w:rPr>
      </w:pPr>
    </w:p>
    <w:p w14:paraId="269A5B42" w14:textId="40E4DAE6" w:rsidR="00CD7530" w:rsidRDefault="00CD7530" w:rsidP="00CD7530">
      <w:pPr>
        <w:spacing w:after="0" w:line="276" w:lineRule="auto"/>
        <w:jc w:val="both"/>
        <w:rPr>
          <w:rFonts w:ascii="Arial" w:hAnsi="Arial" w:cs="Arial"/>
        </w:rPr>
      </w:pPr>
      <w:r>
        <w:rPr>
          <w:rFonts w:ascii="Arial" w:hAnsi="Arial" w:cs="Arial"/>
        </w:rPr>
        <w:t>De seguido se describes las condiciones y requerimientos asociados con la emisión de oferta pública de valores aplicables al Fideicomiso en caso que se considere necesario aplicar ese mecanismo de financiamiento.</w:t>
      </w:r>
    </w:p>
    <w:p w14:paraId="26AE70AA" w14:textId="77777777" w:rsidR="007D4FB2" w:rsidRDefault="007D4FB2" w:rsidP="007D4FB2">
      <w:pPr>
        <w:spacing w:after="0" w:line="276" w:lineRule="auto"/>
        <w:jc w:val="both"/>
        <w:rPr>
          <w:rFonts w:ascii="Arial" w:hAnsi="Arial" w:cs="Arial"/>
        </w:rPr>
      </w:pPr>
    </w:p>
    <w:p w14:paraId="539C23EF" w14:textId="7D73A100" w:rsidR="00E74271" w:rsidRPr="00E47712" w:rsidRDefault="00E74271" w:rsidP="007D4FB2">
      <w:pPr>
        <w:pStyle w:val="Prrafodelista"/>
        <w:numPr>
          <w:ilvl w:val="0"/>
          <w:numId w:val="12"/>
        </w:numPr>
        <w:tabs>
          <w:tab w:val="left" w:pos="284"/>
        </w:tabs>
        <w:spacing w:after="0" w:line="276" w:lineRule="auto"/>
        <w:ind w:left="284" w:hanging="284"/>
        <w:jc w:val="both"/>
        <w:rPr>
          <w:rFonts w:ascii="Arial" w:hAnsi="Arial" w:cs="Arial"/>
        </w:rPr>
      </w:pPr>
      <w:r w:rsidRPr="00E47712">
        <w:rPr>
          <w:rFonts w:ascii="Arial" w:hAnsi="Arial" w:cs="Arial"/>
          <w:b/>
        </w:rPr>
        <w:t>Emisión de valores y su colocación</w:t>
      </w:r>
      <w:r w:rsidR="00E47712" w:rsidRPr="00E47712">
        <w:rPr>
          <w:rFonts w:ascii="Arial" w:hAnsi="Arial" w:cs="Arial"/>
          <w:b/>
        </w:rPr>
        <w:t xml:space="preserve">: </w:t>
      </w:r>
      <w:r w:rsidRPr="00E47712">
        <w:rPr>
          <w:rFonts w:ascii="Arial" w:hAnsi="Arial" w:cs="Arial"/>
        </w:rPr>
        <w:t>Para implementar el proceso de titularización por parte del Contrato de F</w:t>
      </w:r>
      <w:r w:rsidR="00CD7530" w:rsidRPr="00E47712">
        <w:rPr>
          <w:rFonts w:ascii="Arial" w:hAnsi="Arial" w:cs="Arial"/>
        </w:rPr>
        <w:t>ideicomiso</w:t>
      </w:r>
      <w:r w:rsidRPr="00E47712">
        <w:rPr>
          <w:rFonts w:ascii="Arial" w:hAnsi="Arial" w:cs="Arial"/>
        </w:rPr>
        <w:t>, de manera eficiente y segura, el F</w:t>
      </w:r>
      <w:r w:rsidR="00CD7530" w:rsidRPr="00E47712">
        <w:rPr>
          <w:rFonts w:ascii="Arial" w:hAnsi="Arial" w:cs="Arial"/>
        </w:rPr>
        <w:t>iduciario</w:t>
      </w:r>
      <w:r w:rsidRPr="00E47712">
        <w:rPr>
          <w:rFonts w:ascii="Arial" w:hAnsi="Arial" w:cs="Arial"/>
        </w:rPr>
        <w:t xml:space="preserve"> seguirá las siguientes instrucciones:</w:t>
      </w:r>
    </w:p>
    <w:p w14:paraId="281B700D" w14:textId="77777777" w:rsidR="00E74271" w:rsidRPr="00CD7530" w:rsidRDefault="00E74271" w:rsidP="007D4FB2">
      <w:pPr>
        <w:spacing w:after="0" w:line="276" w:lineRule="auto"/>
        <w:jc w:val="both"/>
        <w:rPr>
          <w:rFonts w:ascii="Arial" w:hAnsi="Arial" w:cs="Arial"/>
        </w:rPr>
      </w:pPr>
    </w:p>
    <w:p w14:paraId="3FA66F99" w14:textId="1094B07E" w:rsidR="00E74271"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Definir previa autorización del Fideicomitente, las características y condiciones de las emisiones de los valores estandarizados a emitir y su eventual modificación. Entre las características de la emisión podrá incluirse, la cancelación anticipada de las emisiones a su vencimiento, de conformidad con la estructuración financiera para cada caso.</w:t>
      </w:r>
    </w:p>
    <w:p w14:paraId="334386D3" w14:textId="77777777" w:rsidR="00DF7A2F" w:rsidRDefault="00DF7A2F" w:rsidP="007D4FB2">
      <w:pPr>
        <w:pStyle w:val="Prrafodelista"/>
        <w:spacing w:after="0" w:line="276" w:lineRule="auto"/>
        <w:ind w:left="644"/>
        <w:jc w:val="both"/>
        <w:rPr>
          <w:rFonts w:ascii="Arial" w:hAnsi="Arial" w:cs="Arial"/>
        </w:rPr>
      </w:pPr>
    </w:p>
    <w:p w14:paraId="28CF391B" w14:textId="77777777" w:rsidR="00DF7A2F" w:rsidRPr="00DF7A2F" w:rsidRDefault="00DF7A2F" w:rsidP="007D4FB2">
      <w:pPr>
        <w:pStyle w:val="Prrafodelista"/>
        <w:numPr>
          <w:ilvl w:val="1"/>
          <w:numId w:val="14"/>
        </w:numPr>
        <w:spacing w:after="0" w:line="276" w:lineRule="auto"/>
        <w:ind w:left="644"/>
        <w:jc w:val="both"/>
        <w:rPr>
          <w:rFonts w:ascii="Arial" w:hAnsi="Arial" w:cs="Arial"/>
        </w:rPr>
      </w:pPr>
      <w:r w:rsidRPr="00DF7A2F">
        <w:rPr>
          <w:rFonts w:ascii="Arial" w:hAnsi="Arial" w:cs="Arial"/>
        </w:rPr>
        <w:t>Preparar y presentar (en conjunto con el BCBCR) la información para la debida diligencia requerida ante la Superintendencia General de Valores (SUGEVAL) para el trámite de autorización de la oferta pública de valores por parte del Fideicomiso.</w:t>
      </w:r>
    </w:p>
    <w:p w14:paraId="30CE8F69" w14:textId="77777777" w:rsidR="00DF7A2F" w:rsidRPr="00DF7A2F" w:rsidRDefault="00DF7A2F" w:rsidP="007D4FB2">
      <w:pPr>
        <w:pStyle w:val="Prrafodelista"/>
        <w:spacing w:after="0" w:line="276" w:lineRule="auto"/>
        <w:ind w:left="644"/>
        <w:jc w:val="both"/>
        <w:rPr>
          <w:rFonts w:ascii="Arial" w:hAnsi="Arial" w:cs="Arial"/>
        </w:rPr>
      </w:pPr>
    </w:p>
    <w:p w14:paraId="7F60775F" w14:textId="77777777" w:rsidR="00DF7A2F" w:rsidRPr="00DF7A2F" w:rsidRDefault="00DF7A2F" w:rsidP="007D4FB2">
      <w:pPr>
        <w:pStyle w:val="Prrafodelista"/>
        <w:numPr>
          <w:ilvl w:val="1"/>
          <w:numId w:val="14"/>
        </w:numPr>
        <w:spacing w:after="0" w:line="276" w:lineRule="auto"/>
        <w:ind w:left="644"/>
        <w:jc w:val="both"/>
        <w:rPr>
          <w:rFonts w:ascii="Arial" w:hAnsi="Arial" w:cs="Arial"/>
        </w:rPr>
      </w:pPr>
      <w:r w:rsidRPr="00DF7A2F">
        <w:rPr>
          <w:rFonts w:ascii="Arial" w:hAnsi="Arial" w:cs="Arial"/>
        </w:rPr>
        <w:t>Ejecutar los trámites (en conjunto con el BCBCR) para la inclusión del Fideicomiso en el Registro Nacional de Valores e Intermediarios.</w:t>
      </w:r>
    </w:p>
    <w:p w14:paraId="32D07B9D" w14:textId="77777777" w:rsidR="00DF7A2F" w:rsidRPr="00DF7A2F" w:rsidRDefault="00DF7A2F" w:rsidP="007D4FB2">
      <w:pPr>
        <w:pStyle w:val="Prrafodelista"/>
        <w:spacing w:after="0" w:line="276" w:lineRule="auto"/>
        <w:ind w:left="644"/>
        <w:jc w:val="both"/>
        <w:rPr>
          <w:rFonts w:ascii="Arial" w:hAnsi="Arial" w:cs="Arial"/>
        </w:rPr>
      </w:pPr>
    </w:p>
    <w:p w14:paraId="0322F282" w14:textId="77777777" w:rsidR="00DF7A2F" w:rsidRPr="00DF7A2F" w:rsidRDefault="00DF7A2F" w:rsidP="007D4FB2">
      <w:pPr>
        <w:pStyle w:val="Prrafodelista"/>
        <w:numPr>
          <w:ilvl w:val="1"/>
          <w:numId w:val="14"/>
        </w:numPr>
        <w:spacing w:after="0" w:line="276" w:lineRule="auto"/>
        <w:ind w:left="644"/>
        <w:jc w:val="both"/>
        <w:rPr>
          <w:rFonts w:ascii="Arial" w:hAnsi="Arial" w:cs="Arial"/>
        </w:rPr>
      </w:pPr>
      <w:r w:rsidRPr="00DF7A2F">
        <w:rPr>
          <w:rFonts w:ascii="Arial" w:hAnsi="Arial" w:cs="Arial"/>
        </w:rPr>
        <w:t>Contratar un ente calificador de emisiones de títulos valores, inscrito ante SUGEVAL para tal efecto, a fin de cumplir con lo requerido en la normativa respecto de la calificación periódica que debe realizarse a las emisiones.</w:t>
      </w:r>
    </w:p>
    <w:p w14:paraId="6EBE08BD" w14:textId="77777777" w:rsidR="00DF7A2F" w:rsidRPr="00DF7A2F" w:rsidRDefault="00DF7A2F" w:rsidP="007D4FB2">
      <w:pPr>
        <w:pStyle w:val="Prrafodelista"/>
        <w:spacing w:after="0" w:line="276" w:lineRule="auto"/>
        <w:ind w:left="644"/>
        <w:jc w:val="both"/>
        <w:rPr>
          <w:rFonts w:ascii="Arial" w:hAnsi="Arial" w:cs="Arial"/>
        </w:rPr>
      </w:pPr>
    </w:p>
    <w:p w14:paraId="0B623E9D" w14:textId="77777777" w:rsidR="00DF7A2F" w:rsidRPr="00DF7A2F" w:rsidRDefault="00DF7A2F" w:rsidP="007D4FB2">
      <w:pPr>
        <w:pStyle w:val="Prrafodelista"/>
        <w:numPr>
          <w:ilvl w:val="1"/>
          <w:numId w:val="14"/>
        </w:numPr>
        <w:spacing w:after="0" w:line="276" w:lineRule="auto"/>
        <w:ind w:left="644"/>
        <w:jc w:val="both"/>
        <w:rPr>
          <w:rFonts w:ascii="Arial" w:hAnsi="Arial" w:cs="Arial"/>
        </w:rPr>
      </w:pPr>
      <w:r w:rsidRPr="00DF7A2F">
        <w:rPr>
          <w:rFonts w:ascii="Arial" w:hAnsi="Arial" w:cs="Arial"/>
        </w:rPr>
        <w:t>Realizar los trámites necesarios para la colocación de los valores derivados la autorización de oferta pública de valores a partir del proceso de estructuración del Fideicomiso (en caso de ser necesario), para la obtención de los recursos que financien los planes de inversión que defina el Fideicomitente.</w:t>
      </w:r>
    </w:p>
    <w:p w14:paraId="5308D27E" w14:textId="77777777" w:rsidR="00DF7A2F" w:rsidRPr="00DF7A2F" w:rsidRDefault="00DF7A2F" w:rsidP="007D4FB2">
      <w:pPr>
        <w:pStyle w:val="Prrafodelista"/>
        <w:spacing w:after="0" w:line="276" w:lineRule="auto"/>
        <w:ind w:left="644"/>
        <w:jc w:val="both"/>
        <w:rPr>
          <w:rFonts w:ascii="Arial" w:hAnsi="Arial" w:cs="Arial"/>
        </w:rPr>
      </w:pPr>
    </w:p>
    <w:p w14:paraId="1480143A" w14:textId="77777777" w:rsidR="00DF7A2F" w:rsidRPr="00CD7530" w:rsidRDefault="00DF7A2F" w:rsidP="007D4FB2">
      <w:pPr>
        <w:pStyle w:val="Prrafodelista"/>
        <w:numPr>
          <w:ilvl w:val="1"/>
          <w:numId w:val="14"/>
        </w:numPr>
        <w:spacing w:after="0" w:line="276" w:lineRule="auto"/>
        <w:ind w:left="644"/>
        <w:jc w:val="both"/>
        <w:rPr>
          <w:rFonts w:ascii="Arial" w:hAnsi="Arial" w:cs="Arial"/>
        </w:rPr>
      </w:pPr>
      <w:r w:rsidRPr="00DF7A2F">
        <w:rPr>
          <w:rFonts w:ascii="Arial" w:hAnsi="Arial" w:cs="Arial"/>
        </w:rPr>
        <w:t>Publicar, en caso de ser necesario, los avisos de oferta pública relacionados con las emisiones de valores que colocará el Fideicomiso, lo anterior a través de los medios que cumplan con los principios que rigen la normativa aplicable.</w:t>
      </w:r>
    </w:p>
    <w:p w14:paraId="6F14285B" w14:textId="77777777" w:rsidR="00E74271" w:rsidRPr="00CD7530" w:rsidRDefault="00E74271" w:rsidP="007D4FB2">
      <w:pPr>
        <w:spacing w:after="0" w:line="276" w:lineRule="auto"/>
        <w:jc w:val="both"/>
        <w:rPr>
          <w:rFonts w:ascii="Arial" w:hAnsi="Arial" w:cs="Arial"/>
        </w:rPr>
      </w:pPr>
    </w:p>
    <w:p w14:paraId="735D1AD9" w14:textId="21776720" w:rsidR="00E74271" w:rsidRPr="00CD7530"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lastRenderedPageBreak/>
        <w:t>Los valores que se emitan para poder circular serán “</w:t>
      </w:r>
      <w:r w:rsidR="002B7EDC" w:rsidRPr="00CD7530">
        <w:rPr>
          <w:rFonts w:ascii="Arial" w:hAnsi="Arial" w:cs="Arial"/>
        </w:rPr>
        <w:t xml:space="preserve">Bonos </w:t>
      </w:r>
      <w:r w:rsidR="002B7EDC">
        <w:rPr>
          <w:rFonts w:ascii="Arial" w:hAnsi="Arial" w:cs="Arial"/>
        </w:rPr>
        <w:t>d</w:t>
      </w:r>
      <w:r w:rsidR="002B7EDC" w:rsidRPr="00CD7530">
        <w:rPr>
          <w:rFonts w:ascii="Arial" w:hAnsi="Arial" w:cs="Arial"/>
        </w:rPr>
        <w:t>el Fideicomiso</w:t>
      </w:r>
      <w:r w:rsidRPr="00CD7530">
        <w:rPr>
          <w:rFonts w:ascii="Arial" w:hAnsi="Arial" w:cs="Arial"/>
        </w:rPr>
        <w:t>” emitidos y colocados según los compromisos de pago que asuma el F</w:t>
      </w:r>
      <w:r w:rsidR="002B7EDC" w:rsidRPr="002B7EDC">
        <w:rPr>
          <w:rFonts w:ascii="Arial" w:hAnsi="Arial" w:cs="Arial"/>
        </w:rPr>
        <w:t xml:space="preserve">iduciario </w:t>
      </w:r>
      <w:r w:rsidRPr="00CD7530">
        <w:rPr>
          <w:rFonts w:ascii="Arial" w:hAnsi="Arial" w:cs="Arial"/>
        </w:rPr>
        <w:t xml:space="preserve">sobre los contratos que se formalicen. </w:t>
      </w:r>
    </w:p>
    <w:p w14:paraId="55DBF755" w14:textId="77777777" w:rsidR="00E74271" w:rsidRPr="00CD7530" w:rsidRDefault="00E74271" w:rsidP="007D4FB2">
      <w:pPr>
        <w:spacing w:after="0" w:line="276" w:lineRule="auto"/>
        <w:jc w:val="both"/>
        <w:rPr>
          <w:rFonts w:ascii="Arial" w:hAnsi="Arial" w:cs="Arial"/>
        </w:rPr>
      </w:pPr>
    </w:p>
    <w:p w14:paraId="72AC657F" w14:textId="3AC173D2" w:rsidR="00E74271" w:rsidRPr="00CD7530"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 xml:space="preserve">Los valores de anterior cita serán colocados en el mercado primario a través de los mercados autorizados por la Superintendencia General de Valores. </w:t>
      </w:r>
    </w:p>
    <w:p w14:paraId="5ABEAF5F" w14:textId="77777777" w:rsidR="00E74271" w:rsidRPr="00CD7530" w:rsidRDefault="00E74271" w:rsidP="007D4FB2">
      <w:pPr>
        <w:spacing w:after="0" w:line="276" w:lineRule="auto"/>
        <w:jc w:val="both"/>
        <w:rPr>
          <w:rFonts w:ascii="Arial" w:hAnsi="Arial" w:cs="Arial"/>
        </w:rPr>
      </w:pPr>
    </w:p>
    <w:p w14:paraId="605AC1A0" w14:textId="5341976F" w:rsidR="00E74271" w:rsidRPr="00CD7530"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 xml:space="preserve">La puesta en circulación de valores se hará en varias emisiones derivadas de varios procesos de estructuración a partir de diversas cesiones incondicionales e irrevocables de flujos futuros de la misma fuente de ingresos de caja, que son el 4% de las primas de seguros que se vendan en Costa Rica según el artículo 40 de la Ley No. 8228, debiendo distinguirse cada una de las emisiones por una letra del alfabeto. </w:t>
      </w:r>
    </w:p>
    <w:p w14:paraId="14C30978" w14:textId="77777777" w:rsidR="00E74271" w:rsidRPr="00CD7530" w:rsidRDefault="00E74271" w:rsidP="007D4FB2">
      <w:pPr>
        <w:spacing w:after="0" w:line="276" w:lineRule="auto"/>
        <w:jc w:val="both"/>
        <w:rPr>
          <w:rFonts w:ascii="Arial" w:hAnsi="Arial" w:cs="Arial"/>
        </w:rPr>
      </w:pPr>
    </w:p>
    <w:p w14:paraId="194EFB1E" w14:textId="25F92EC7" w:rsidR="00E74271" w:rsidRPr="00CD7530"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El vencimiento de cada título valor se producirá de conformidad con las condiciones indicadas en el prospecto de emisión y sus comunicaciones, así como en la literalidad de los valores emitidos.</w:t>
      </w:r>
    </w:p>
    <w:p w14:paraId="06045C0F" w14:textId="77777777" w:rsidR="00E74271" w:rsidRPr="00CD7530" w:rsidRDefault="00E74271" w:rsidP="007D4FB2">
      <w:pPr>
        <w:spacing w:after="0" w:line="276" w:lineRule="auto"/>
        <w:jc w:val="both"/>
        <w:rPr>
          <w:rFonts w:ascii="Arial" w:hAnsi="Arial" w:cs="Arial"/>
        </w:rPr>
      </w:pPr>
    </w:p>
    <w:p w14:paraId="704C5ABA" w14:textId="3C49B02A" w:rsidR="00E74271" w:rsidRPr="00CD7530"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Las emisiones supra indicadas se colocarán luego de autorizado la oferta pública por parte de la SUGEVAL.</w:t>
      </w:r>
    </w:p>
    <w:p w14:paraId="3C418303" w14:textId="77777777" w:rsidR="00E74271" w:rsidRPr="00CD7530" w:rsidRDefault="00E74271" w:rsidP="007D4FB2">
      <w:pPr>
        <w:spacing w:after="0" w:line="276" w:lineRule="auto"/>
        <w:jc w:val="both"/>
        <w:rPr>
          <w:rFonts w:ascii="Arial" w:hAnsi="Arial" w:cs="Arial"/>
        </w:rPr>
      </w:pPr>
    </w:p>
    <w:p w14:paraId="384BE43B" w14:textId="334823A7" w:rsidR="00E74271" w:rsidRDefault="00E74271" w:rsidP="007D4FB2">
      <w:pPr>
        <w:pStyle w:val="Prrafodelista"/>
        <w:numPr>
          <w:ilvl w:val="1"/>
          <w:numId w:val="14"/>
        </w:numPr>
        <w:spacing w:after="0" w:line="276" w:lineRule="auto"/>
        <w:ind w:left="644"/>
        <w:jc w:val="both"/>
        <w:rPr>
          <w:rFonts w:ascii="Arial" w:hAnsi="Arial" w:cs="Arial"/>
        </w:rPr>
      </w:pPr>
      <w:r w:rsidRPr="00CD7530">
        <w:rPr>
          <w:rFonts w:ascii="Arial" w:hAnsi="Arial" w:cs="Arial"/>
        </w:rPr>
        <w:t>Los recursos captados mediante la colocación de los valores de oferta pública serán utilizados para cumplir estrictamente con los planes de inversión, que previamente comunique de manera oficial el Fideicomitente al Fiduciario, para establecer el diseño de las nuevas emisiones de valores que respalden la captación de los recursos.</w:t>
      </w:r>
    </w:p>
    <w:p w14:paraId="4C4B8152" w14:textId="77777777" w:rsidR="00FD03E2" w:rsidRPr="00FD03E2" w:rsidRDefault="00FD03E2" w:rsidP="007D4FB2">
      <w:pPr>
        <w:pStyle w:val="Prrafodelista"/>
        <w:ind w:left="578"/>
        <w:rPr>
          <w:rFonts w:ascii="Arial" w:hAnsi="Arial" w:cs="Arial"/>
        </w:rPr>
      </w:pPr>
    </w:p>
    <w:p w14:paraId="718C7A0F" w14:textId="5F3650BA" w:rsidR="00FD03E2" w:rsidRDefault="00FD03E2" w:rsidP="007D4FB2">
      <w:pPr>
        <w:pStyle w:val="Prrafodelista"/>
        <w:numPr>
          <w:ilvl w:val="1"/>
          <w:numId w:val="14"/>
        </w:numPr>
        <w:spacing w:after="0" w:line="276" w:lineRule="auto"/>
        <w:ind w:left="644"/>
        <w:jc w:val="both"/>
        <w:rPr>
          <w:rFonts w:ascii="Arial" w:hAnsi="Arial" w:cs="Arial"/>
        </w:rPr>
      </w:pPr>
      <w:r w:rsidRPr="00FD03E2">
        <w:rPr>
          <w:rFonts w:ascii="Arial" w:hAnsi="Arial" w:cs="Arial"/>
        </w:rPr>
        <w:t>Queda autorizado el Fiduciario, para que de común acuerdo con el Fideicomitente y solo en caso de considerarlo necesario, con recursos del Fideicomiso, sin afectar el correcto funcionamiento de este, constituya mecanismos de garantía a favor de los tenedores de los valores y de ser el caso para entidades financieras acreedores, afectando únicamente, los bienes generados por el fideicomiso más no los cedidos por el Fideicomitente.</w:t>
      </w:r>
    </w:p>
    <w:p w14:paraId="0A700086" w14:textId="31ED4C62" w:rsidR="00FD03E2" w:rsidRDefault="00FD03E2" w:rsidP="007D4FB2">
      <w:pPr>
        <w:spacing w:after="0" w:line="276" w:lineRule="auto"/>
        <w:jc w:val="both"/>
        <w:rPr>
          <w:rFonts w:ascii="Arial" w:hAnsi="Arial" w:cs="Arial"/>
        </w:rPr>
      </w:pPr>
    </w:p>
    <w:p w14:paraId="7E5CE04D" w14:textId="29902091" w:rsidR="00E74271" w:rsidRPr="00CD7530" w:rsidRDefault="00E74271" w:rsidP="007D4FB2">
      <w:pPr>
        <w:spacing w:after="0" w:line="276" w:lineRule="auto"/>
        <w:ind w:left="284"/>
        <w:jc w:val="both"/>
        <w:rPr>
          <w:rFonts w:ascii="Arial" w:hAnsi="Arial" w:cs="Arial"/>
        </w:rPr>
      </w:pPr>
      <w:r w:rsidRPr="00CD7530">
        <w:rPr>
          <w:rFonts w:ascii="Arial" w:hAnsi="Arial" w:cs="Arial"/>
        </w:rPr>
        <w:t>El F</w:t>
      </w:r>
      <w:r w:rsidR="00E47712" w:rsidRPr="00CD7530">
        <w:rPr>
          <w:rFonts w:ascii="Arial" w:hAnsi="Arial" w:cs="Arial"/>
        </w:rPr>
        <w:t>iduciario</w:t>
      </w:r>
      <w:r w:rsidRPr="00CD7530">
        <w:rPr>
          <w:rFonts w:ascii="Arial" w:hAnsi="Arial" w:cs="Arial"/>
        </w:rPr>
        <w:t xml:space="preserve"> materializa</w:t>
      </w:r>
      <w:r w:rsidR="00E47712">
        <w:rPr>
          <w:rFonts w:ascii="Arial" w:hAnsi="Arial" w:cs="Arial"/>
        </w:rPr>
        <w:t>rá</w:t>
      </w:r>
      <w:r w:rsidRPr="00CD7530">
        <w:rPr>
          <w:rFonts w:ascii="Arial" w:hAnsi="Arial" w:cs="Arial"/>
        </w:rPr>
        <w:t xml:space="preserve"> la emisión de valores en su carácter de representante del Contrato de Fideicomiso por lo que no responderá en ningún caso, al igual que el F</w:t>
      </w:r>
      <w:r w:rsidR="00E47712" w:rsidRPr="00CD7530">
        <w:rPr>
          <w:rFonts w:ascii="Arial" w:hAnsi="Arial" w:cs="Arial"/>
        </w:rPr>
        <w:t>ideicomitente</w:t>
      </w:r>
      <w:r w:rsidRPr="00CD7530">
        <w:rPr>
          <w:rFonts w:ascii="Arial" w:hAnsi="Arial" w:cs="Arial"/>
        </w:rPr>
        <w:t>, con su patrimonio por el efectivo pago de los valores emitidos, lo cual se indicará en los documentos a colocar y en cualquier otro documento que se utilice para la colocación de los mismos, siendo su responsabilidad como F</w:t>
      </w:r>
      <w:r w:rsidR="00E47712" w:rsidRPr="00CD7530">
        <w:rPr>
          <w:rFonts w:ascii="Arial" w:hAnsi="Arial" w:cs="Arial"/>
        </w:rPr>
        <w:t>iduciario</w:t>
      </w:r>
      <w:r w:rsidRPr="00CD7530">
        <w:rPr>
          <w:rFonts w:ascii="Arial" w:hAnsi="Arial" w:cs="Arial"/>
        </w:rPr>
        <w:t xml:space="preserve">, el cumplimiento </w:t>
      </w:r>
      <w:r w:rsidRPr="00CD7530">
        <w:rPr>
          <w:rFonts w:ascii="Arial" w:hAnsi="Arial" w:cs="Arial"/>
        </w:rPr>
        <w:lastRenderedPageBreak/>
        <w:t xml:space="preserve">de las instrucciones aquí señaladas y las disposiciones del ordenamiento jurídico aplicable a la materia. </w:t>
      </w:r>
    </w:p>
    <w:p w14:paraId="4C15E00F" w14:textId="77777777" w:rsidR="00E74271" w:rsidRPr="00CD7530" w:rsidRDefault="00E74271" w:rsidP="007D4FB2">
      <w:pPr>
        <w:spacing w:after="0" w:line="276" w:lineRule="auto"/>
        <w:jc w:val="both"/>
        <w:rPr>
          <w:rFonts w:ascii="Arial" w:hAnsi="Arial" w:cs="Arial"/>
        </w:rPr>
      </w:pPr>
    </w:p>
    <w:p w14:paraId="7E41837A" w14:textId="7D4D9399" w:rsidR="00E74271" w:rsidRPr="00CD7530" w:rsidRDefault="00E74271" w:rsidP="007D4FB2">
      <w:pPr>
        <w:spacing w:after="0" w:line="276" w:lineRule="auto"/>
        <w:ind w:left="284"/>
        <w:jc w:val="both"/>
        <w:rPr>
          <w:rFonts w:ascii="Arial" w:hAnsi="Arial" w:cs="Arial"/>
        </w:rPr>
      </w:pPr>
      <w:r w:rsidRPr="00CD7530">
        <w:rPr>
          <w:rFonts w:ascii="Arial" w:hAnsi="Arial" w:cs="Arial"/>
        </w:rPr>
        <w:t>En ese sentido, el F</w:t>
      </w:r>
      <w:r w:rsidR="00E47712" w:rsidRPr="00CD7530">
        <w:rPr>
          <w:rFonts w:ascii="Arial" w:hAnsi="Arial" w:cs="Arial"/>
        </w:rPr>
        <w:t>iduciario</w:t>
      </w:r>
      <w:r w:rsidRPr="00CD7530">
        <w:rPr>
          <w:rFonts w:ascii="Arial" w:hAnsi="Arial" w:cs="Arial"/>
        </w:rPr>
        <w:t>, al igual que el F</w:t>
      </w:r>
      <w:r w:rsidR="00E47712" w:rsidRPr="00CD7530">
        <w:rPr>
          <w:rFonts w:ascii="Arial" w:hAnsi="Arial" w:cs="Arial"/>
        </w:rPr>
        <w:t>ideicomitente</w:t>
      </w:r>
      <w:r w:rsidRPr="00CD7530">
        <w:rPr>
          <w:rFonts w:ascii="Arial" w:hAnsi="Arial" w:cs="Arial"/>
        </w:rPr>
        <w:t xml:space="preserve">, no será responsable si por orden de autoridades administrativas o judiciales, llegare a demorarse, suspenderse o interrumpirse el proceso de oferta, colocación y/o circulación de los valores producto de la titularización. </w:t>
      </w:r>
    </w:p>
    <w:p w14:paraId="325DCBF8" w14:textId="29160A83" w:rsidR="00E74271" w:rsidRDefault="00E74271" w:rsidP="007D4FB2">
      <w:pPr>
        <w:spacing w:after="0" w:line="276" w:lineRule="auto"/>
        <w:jc w:val="both"/>
        <w:rPr>
          <w:rFonts w:ascii="Arial" w:hAnsi="Arial" w:cs="Arial"/>
        </w:rPr>
      </w:pPr>
    </w:p>
    <w:p w14:paraId="65B36524" w14:textId="3A032C84" w:rsidR="00E47712" w:rsidRPr="00E47712" w:rsidRDefault="00E47712" w:rsidP="007D4FB2">
      <w:pPr>
        <w:pStyle w:val="Prrafodelista"/>
        <w:numPr>
          <w:ilvl w:val="0"/>
          <w:numId w:val="12"/>
        </w:numPr>
        <w:tabs>
          <w:tab w:val="left" w:pos="284"/>
        </w:tabs>
        <w:spacing w:after="0" w:line="276" w:lineRule="auto"/>
        <w:ind w:left="284" w:hanging="284"/>
        <w:jc w:val="both"/>
        <w:rPr>
          <w:rFonts w:ascii="Arial" w:hAnsi="Arial" w:cs="Arial"/>
        </w:rPr>
      </w:pPr>
      <w:r w:rsidRPr="00E47712">
        <w:rPr>
          <w:rFonts w:ascii="Arial" w:hAnsi="Arial" w:cs="Arial"/>
          <w:b/>
          <w:bCs/>
        </w:rPr>
        <w:t xml:space="preserve">Sobre el Comité de Vigilancia: </w:t>
      </w:r>
      <w:r w:rsidRPr="00E47712">
        <w:rPr>
          <w:rFonts w:ascii="Arial" w:hAnsi="Arial" w:cs="Arial"/>
        </w:rPr>
        <w:t>El Fiduciario de consumo con el Fideicomitente, constituirán un Comité de Vigilancia que se ocupará de velar por la gestión de los activos titularizados a la luz de lo establecido en el Reglamento sobre Procesos de Titularización. El Comité deberá supervisar que el Fiduciario cumpla con lo dispuesto en el manual de política de inversión a la hora de realizar todas las inversiones de los recursos administrados en virtud del Contrato de Fideicomiso.</w:t>
      </w:r>
    </w:p>
    <w:p w14:paraId="7E7CD6AB" w14:textId="77777777" w:rsidR="00FD03E2" w:rsidRDefault="00FD03E2" w:rsidP="007D4FB2">
      <w:pPr>
        <w:spacing w:after="0" w:line="276" w:lineRule="auto"/>
        <w:jc w:val="both"/>
        <w:rPr>
          <w:rFonts w:ascii="Arial" w:hAnsi="Arial" w:cs="Arial"/>
        </w:rPr>
      </w:pPr>
    </w:p>
    <w:p w14:paraId="2E3BF204" w14:textId="6F9D6AA0" w:rsidR="00E47712" w:rsidRDefault="00E47712" w:rsidP="007D4FB2">
      <w:pPr>
        <w:spacing w:after="0" w:line="276" w:lineRule="auto"/>
        <w:ind w:left="284"/>
        <w:jc w:val="both"/>
        <w:rPr>
          <w:rFonts w:ascii="Arial" w:hAnsi="Arial" w:cs="Arial"/>
        </w:rPr>
      </w:pPr>
      <w:r w:rsidRPr="00CD7530">
        <w:rPr>
          <w:rFonts w:ascii="Arial" w:hAnsi="Arial" w:cs="Arial"/>
        </w:rPr>
        <w:t>Este Comité deberá, además, velar por el fiel cumplimiento de lo establecido en el Contrato de Fideicomiso y los demás relacionados, así como fiscalizar que se cumpla con la transparencia que exige el mercado y supervisar la buena marcha de ejecución de los planes de inversión.</w:t>
      </w:r>
    </w:p>
    <w:p w14:paraId="051073B7" w14:textId="77777777" w:rsidR="00E47712" w:rsidRPr="00CD7530" w:rsidRDefault="00E47712" w:rsidP="007D4FB2">
      <w:pPr>
        <w:spacing w:after="0" w:line="276" w:lineRule="auto"/>
        <w:ind w:left="284"/>
        <w:jc w:val="both"/>
        <w:rPr>
          <w:rFonts w:ascii="Arial" w:hAnsi="Arial" w:cs="Arial"/>
        </w:rPr>
      </w:pPr>
    </w:p>
    <w:p w14:paraId="2FD248DE" w14:textId="58F52829" w:rsidR="00E47712" w:rsidRPr="00CD7530" w:rsidRDefault="00E47712" w:rsidP="007D4FB2">
      <w:pPr>
        <w:spacing w:after="0" w:line="276" w:lineRule="auto"/>
        <w:ind w:left="284"/>
        <w:jc w:val="both"/>
        <w:rPr>
          <w:rFonts w:ascii="Arial" w:hAnsi="Arial" w:cs="Arial"/>
        </w:rPr>
      </w:pPr>
      <w:r w:rsidRPr="00CD7530">
        <w:rPr>
          <w:rFonts w:ascii="Arial" w:hAnsi="Arial" w:cs="Arial"/>
        </w:rPr>
        <w:t>Este Comité estará integrado</w:t>
      </w:r>
      <w:r>
        <w:rPr>
          <w:rFonts w:ascii="Arial" w:hAnsi="Arial" w:cs="Arial"/>
        </w:rPr>
        <w:t xml:space="preserve"> según se establezca en el </w:t>
      </w:r>
      <w:r w:rsidR="006A1929">
        <w:rPr>
          <w:rFonts w:ascii="Arial" w:hAnsi="Arial" w:cs="Arial"/>
        </w:rPr>
        <w:t>Manual</w:t>
      </w:r>
      <w:r>
        <w:rPr>
          <w:rFonts w:ascii="Arial" w:hAnsi="Arial" w:cs="Arial"/>
        </w:rPr>
        <w:t xml:space="preserve"> que a tal efecto se preparará, todo de conformidad con lo establecido en la normativa del mercado de valores.</w:t>
      </w:r>
      <w:r w:rsidRPr="00CD7530">
        <w:rPr>
          <w:rFonts w:ascii="Arial" w:hAnsi="Arial" w:cs="Arial"/>
        </w:rPr>
        <w:t xml:space="preserve"> El </w:t>
      </w:r>
      <w:r>
        <w:rPr>
          <w:rFonts w:ascii="Arial" w:hAnsi="Arial" w:cs="Arial"/>
        </w:rPr>
        <w:t>F</w:t>
      </w:r>
      <w:r w:rsidRPr="00CD7530">
        <w:rPr>
          <w:rFonts w:ascii="Arial" w:hAnsi="Arial" w:cs="Arial"/>
        </w:rPr>
        <w:t xml:space="preserve">iduciario y el </w:t>
      </w:r>
      <w:r>
        <w:rPr>
          <w:rFonts w:ascii="Arial" w:hAnsi="Arial" w:cs="Arial"/>
        </w:rPr>
        <w:t>F</w:t>
      </w:r>
      <w:r w:rsidRPr="00CD7530">
        <w:rPr>
          <w:rFonts w:ascii="Arial" w:hAnsi="Arial" w:cs="Arial"/>
        </w:rPr>
        <w:t>ideicomitente de forma conjunta aprobarán el Manual de Funcionamiento del Comité de Vigilancia que regirá la operativa del comité de referencia, entre los aspectos a normar se encuentran su estructura funcional, la periodicidad de las sesiones, mecanismos de tomas de decisiones, entre otros.</w:t>
      </w:r>
    </w:p>
    <w:p w14:paraId="4D9E0441" w14:textId="42160216" w:rsidR="00E47712" w:rsidRDefault="00E47712" w:rsidP="007D4FB2">
      <w:pPr>
        <w:spacing w:after="0" w:line="276" w:lineRule="auto"/>
        <w:jc w:val="both"/>
        <w:rPr>
          <w:rFonts w:ascii="Arial" w:hAnsi="Arial" w:cs="Arial"/>
        </w:rPr>
      </w:pPr>
    </w:p>
    <w:p w14:paraId="1A9EE2D8" w14:textId="3BF0493E" w:rsidR="00E47712" w:rsidRDefault="00E47712" w:rsidP="007D4FB2">
      <w:pPr>
        <w:pStyle w:val="Prrafodelista"/>
        <w:numPr>
          <w:ilvl w:val="0"/>
          <w:numId w:val="12"/>
        </w:numPr>
        <w:tabs>
          <w:tab w:val="left" w:pos="284"/>
        </w:tabs>
        <w:spacing w:after="0" w:line="276" w:lineRule="auto"/>
        <w:ind w:left="284" w:hanging="284"/>
        <w:jc w:val="both"/>
        <w:rPr>
          <w:rFonts w:ascii="Arial" w:hAnsi="Arial" w:cs="Arial"/>
          <w:b/>
        </w:rPr>
      </w:pPr>
      <w:r w:rsidRPr="00E47712">
        <w:rPr>
          <w:rFonts w:ascii="Arial" w:hAnsi="Arial" w:cs="Arial"/>
          <w:b/>
        </w:rPr>
        <w:t>Responsabilidades del fiduciario</w:t>
      </w:r>
      <w:r>
        <w:rPr>
          <w:rFonts w:ascii="Arial" w:hAnsi="Arial" w:cs="Arial"/>
          <w:b/>
        </w:rPr>
        <w:t xml:space="preserve"> respecto de la emisión</w:t>
      </w:r>
      <w:r w:rsidRPr="00E47712">
        <w:rPr>
          <w:rFonts w:ascii="Arial" w:hAnsi="Arial" w:cs="Arial"/>
          <w:b/>
        </w:rPr>
        <w:t>:</w:t>
      </w:r>
    </w:p>
    <w:p w14:paraId="0C36B308" w14:textId="77777777" w:rsidR="00E47712" w:rsidRPr="00E47712" w:rsidRDefault="00E47712" w:rsidP="007D4FB2">
      <w:pPr>
        <w:pStyle w:val="Prrafodelista"/>
        <w:tabs>
          <w:tab w:val="left" w:pos="426"/>
        </w:tabs>
        <w:spacing w:after="0" w:line="276" w:lineRule="auto"/>
        <w:ind w:left="708"/>
        <w:jc w:val="both"/>
        <w:rPr>
          <w:rFonts w:ascii="Arial" w:hAnsi="Arial" w:cs="Arial"/>
          <w:b/>
        </w:rPr>
      </w:pPr>
    </w:p>
    <w:p w14:paraId="5C713BAE" w14:textId="719F62CD" w:rsidR="00E47712" w:rsidRPr="006A1929" w:rsidRDefault="00E47712" w:rsidP="007D4FB2">
      <w:pPr>
        <w:pStyle w:val="Prrafodelista"/>
        <w:numPr>
          <w:ilvl w:val="1"/>
          <w:numId w:val="15"/>
        </w:numPr>
        <w:spacing w:after="0" w:line="276" w:lineRule="auto"/>
        <w:ind w:left="567" w:hanging="283"/>
        <w:jc w:val="both"/>
        <w:rPr>
          <w:rFonts w:ascii="Arial" w:hAnsi="Arial" w:cs="Arial"/>
        </w:rPr>
      </w:pPr>
      <w:r w:rsidRPr="006A1929">
        <w:rPr>
          <w:rFonts w:ascii="Arial" w:hAnsi="Arial" w:cs="Arial"/>
        </w:rPr>
        <w:t>Realizar las gestiones y actividades que de oficio o a solicitud del F</w:t>
      </w:r>
      <w:r w:rsidR="005A1BE1" w:rsidRPr="006A1929">
        <w:rPr>
          <w:rFonts w:ascii="Arial" w:hAnsi="Arial" w:cs="Arial"/>
        </w:rPr>
        <w:t>ideicomitente</w:t>
      </w:r>
      <w:r w:rsidRPr="006A1929">
        <w:rPr>
          <w:rFonts w:ascii="Arial" w:hAnsi="Arial" w:cs="Arial"/>
        </w:rPr>
        <w:t>, tiendan a garantizar el cumplimiento de los principios de protección al inversionista y transparencia de la información, así mismo, coadyuven al cumplimiento de la normativa aplicable al contrato de F</w:t>
      </w:r>
      <w:r w:rsidR="00DF7A2F">
        <w:rPr>
          <w:rFonts w:ascii="Arial" w:hAnsi="Arial" w:cs="Arial"/>
        </w:rPr>
        <w:t xml:space="preserve">ideicomiso </w:t>
      </w:r>
      <w:r w:rsidRPr="006A1929">
        <w:rPr>
          <w:rFonts w:ascii="Arial" w:hAnsi="Arial" w:cs="Arial"/>
        </w:rPr>
        <w:t>y la prosecución de los objetivos negociados.</w:t>
      </w:r>
    </w:p>
    <w:p w14:paraId="7F0B596D" w14:textId="77777777" w:rsidR="00E47712" w:rsidRPr="00E47712" w:rsidRDefault="00E47712" w:rsidP="007D4FB2">
      <w:pPr>
        <w:spacing w:after="0" w:line="276" w:lineRule="auto"/>
        <w:ind w:left="567" w:hanging="283"/>
        <w:jc w:val="both"/>
        <w:rPr>
          <w:rFonts w:ascii="Arial" w:hAnsi="Arial" w:cs="Arial"/>
        </w:rPr>
      </w:pPr>
    </w:p>
    <w:p w14:paraId="717294EB" w14:textId="224B2551" w:rsidR="00E47712" w:rsidRPr="006A1929" w:rsidRDefault="00E47712" w:rsidP="007D4FB2">
      <w:pPr>
        <w:pStyle w:val="Prrafodelista"/>
        <w:numPr>
          <w:ilvl w:val="1"/>
          <w:numId w:val="15"/>
        </w:numPr>
        <w:spacing w:after="0" w:line="276" w:lineRule="auto"/>
        <w:ind w:left="567" w:hanging="283"/>
        <w:jc w:val="both"/>
        <w:rPr>
          <w:rFonts w:ascii="Arial" w:hAnsi="Arial" w:cs="Arial"/>
        </w:rPr>
      </w:pPr>
      <w:r w:rsidRPr="006A1929">
        <w:rPr>
          <w:rFonts w:ascii="Arial" w:hAnsi="Arial" w:cs="Arial"/>
        </w:rPr>
        <w:t xml:space="preserve">Rendir cuentas a la Asamblea de Inversionistas en las condiciones que se pacten en el Prospecto del Inversionista, en calidad de FIDEICOMISARIOS PRINCIPALES en la forma establecida en el contrato de Fideicomiso. </w:t>
      </w:r>
    </w:p>
    <w:p w14:paraId="53C7F1FB" w14:textId="77777777" w:rsidR="00E47712" w:rsidRPr="00E47712" w:rsidRDefault="00E47712" w:rsidP="007D4FB2">
      <w:pPr>
        <w:spacing w:after="0" w:line="276" w:lineRule="auto"/>
        <w:ind w:left="567" w:hanging="283"/>
        <w:jc w:val="both"/>
        <w:rPr>
          <w:rFonts w:ascii="Arial" w:hAnsi="Arial" w:cs="Arial"/>
        </w:rPr>
      </w:pPr>
    </w:p>
    <w:p w14:paraId="389B18B4" w14:textId="569E0563" w:rsidR="00E47712" w:rsidRDefault="00E47712" w:rsidP="007D4FB2">
      <w:pPr>
        <w:pStyle w:val="Prrafodelista"/>
        <w:numPr>
          <w:ilvl w:val="1"/>
          <w:numId w:val="15"/>
        </w:numPr>
        <w:spacing w:after="0" w:line="276" w:lineRule="auto"/>
        <w:ind w:left="567" w:hanging="283"/>
        <w:jc w:val="both"/>
        <w:rPr>
          <w:rFonts w:ascii="Arial" w:hAnsi="Arial" w:cs="Arial"/>
        </w:rPr>
      </w:pPr>
      <w:r w:rsidRPr="006A1929">
        <w:rPr>
          <w:rFonts w:ascii="Arial" w:hAnsi="Arial" w:cs="Arial"/>
        </w:rPr>
        <w:lastRenderedPageBreak/>
        <w:t xml:space="preserve">Que se cumpla las disposiciones relacionadas con buenas prácticas de </w:t>
      </w:r>
      <w:r w:rsidR="00AD4B32">
        <w:rPr>
          <w:rFonts w:ascii="Arial" w:hAnsi="Arial" w:cs="Arial"/>
        </w:rPr>
        <w:t>g</w:t>
      </w:r>
      <w:r w:rsidRPr="006A1929">
        <w:rPr>
          <w:rFonts w:ascii="Arial" w:hAnsi="Arial" w:cs="Arial"/>
        </w:rPr>
        <w:t>obernanza, en primera instancia las dispuestas en el Reglamento de Gobierno Corporativo de la Bolsa Nacional de Valores S.A., y supletoriamente con las reglas específicas que se llegaren a establecer para la sana operación del Contrato de FIDEICOMISO DE TITULARIZACIÓN.</w:t>
      </w:r>
    </w:p>
    <w:p w14:paraId="1530C4AC" w14:textId="77777777" w:rsidR="003D687D" w:rsidRPr="003D687D" w:rsidRDefault="003D687D" w:rsidP="007D4FB2">
      <w:pPr>
        <w:pStyle w:val="Prrafodelista"/>
        <w:ind w:left="567" w:hanging="283"/>
        <w:rPr>
          <w:rFonts w:ascii="Arial" w:hAnsi="Arial" w:cs="Arial"/>
        </w:rPr>
      </w:pPr>
    </w:p>
    <w:p w14:paraId="7422E371" w14:textId="77777777" w:rsidR="003D687D" w:rsidRPr="003D687D" w:rsidRDefault="003D687D" w:rsidP="007D4FB2">
      <w:pPr>
        <w:pStyle w:val="Prrafodelista"/>
        <w:numPr>
          <w:ilvl w:val="1"/>
          <w:numId w:val="15"/>
        </w:numPr>
        <w:spacing w:after="0" w:line="276" w:lineRule="auto"/>
        <w:ind w:left="567" w:hanging="283"/>
        <w:jc w:val="both"/>
        <w:rPr>
          <w:rFonts w:ascii="Arial" w:hAnsi="Arial" w:cs="Arial"/>
        </w:rPr>
      </w:pPr>
      <w:r w:rsidRPr="003D687D">
        <w:rPr>
          <w:rFonts w:ascii="Arial" w:hAnsi="Arial" w:cs="Arial"/>
        </w:rPr>
        <w:t>Suscribir, previa autorización del FIDEICOMITENTE, los contratos que sean necesarios para fortalecer y/o mejorar la calidad crediticia para el pago de los valores que se emitan. El FIDUCIARIO en forma anual rendirá cuentas al FIDEICOMITENTE respecto de los gastos e inversiones incurridos por estos conceptos.</w:t>
      </w:r>
    </w:p>
    <w:p w14:paraId="310F8829" w14:textId="61E66B77" w:rsidR="00E47712" w:rsidRDefault="00E47712" w:rsidP="007D4FB2">
      <w:pPr>
        <w:spacing w:after="0" w:line="276" w:lineRule="auto"/>
        <w:ind w:left="567" w:hanging="283"/>
        <w:jc w:val="both"/>
        <w:rPr>
          <w:rFonts w:ascii="Arial" w:hAnsi="Arial" w:cs="Arial"/>
        </w:rPr>
      </w:pPr>
    </w:p>
    <w:p w14:paraId="6A5D0CA9" w14:textId="0C1BCBE5" w:rsidR="00353708" w:rsidRDefault="00353708" w:rsidP="007D4FB2">
      <w:pPr>
        <w:pStyle w:val="Prrafodelista"/>
        <w:numPr>
          <w:ilvl w:val="1"/>
          <w:numId w:val="15"/>
        </w:numPr>
        <w:spacing w:after="0" w:line="276" w:lineRule="auto"/>
        <w:ind w:left="567" w:hanging="283"/>
        <w:jc w:val="both"/>
        <w:rPr>
          <w:rFonts w:ascii="Arial" w:hAnsi="Arial" w:cs="Arial"/>
        </w:rPr>
      </w:pPr>
      <w:r>
        <w:rPr>
          <w:rFonts w:ascii="Arial" w:hAnsi="Arial" w:cs="Arial"/>
        </w:rPr>
        <w:t>B</w:t>
      </w:r>
      <w:r w:rsidRPr="00CD7530">
        <w:rPr>
          <w:rFonts w:ascii="Arial" w:hAnsi="Arial" w:cs="Arial"/>
        </w:rPr>
        <w:t>rindar información</w:t>
      </w:r>
      <w:r>
        <w:rPr>
          <w:rFonts w:ascii="Arial" w:hAnsi="Arial" w:cs="Arial"/>
        </w:rPr>
        <w:t xml:space="preserve"> a los inversionistas,</w:t>
      </w:r>
      <w:r w:rsidRPr="00CD7530">
        <w:rPr>
          <w:rFonts w:ascii="Arial" w:hAnsi="Arial" w:cs="Arial"/>
        </w:rPr>
        <w:t xml:space="preserve"> de acuerdo con las políticas establecidas por la </w:t>
      </w:r>
      <w:r>
        <w:rPr>
          <w:rFonts w:ascii="Arial" w:hAnsi="Arial" w:cs="Arial"/>
        </w:rPr>
        <w:t>SUGEVAL</w:t>
      </w:r>
      <w:r w:rsidRPr="00CD7530">
        <w:rPr>
          <w:rFonts w:ascii="Arial" w:hAnsi="Arial" w:cs="Arial"/>
        </w:rPr>
        <w:t>.</w:t>
      </w:r>
    </w:p>
    <w:p w14:paraId="7081946E" w14:textId="77777777" w:rsidR="00CD5259" w:rsidRPr="00CD5259" w:rsidRDefault="00CD5259" w:rsidP="007D4FB2">
      <w:pPr>
        <w:pStyle w:val="Prrafodelista"/>
        <w:ind w:left="567" w:hanging="283"/>
        <w:rPr>
          <w:rFonts w:ascii="Arial" w:hAnsi="Arial" w:cs="Arial"/>
        </w:rPr>
      </w:pPr>
    </w:p>
    <w:p w14:paraId="169FEB99" w14:textId="081AAA4C" w:rsidR="00CD5259" w:rsidRDefault="00CD5259" w:rsidP="007D4FB2">
      <w:pPr>
        <w:pStyle w:val="Prrafodelista"/>
        <w:numPr>
          <w:ilvl w:val="1"/>
          <w:numId w:val="15"/>
        </w:numPr>
        <w:spacing w:after="0" w:line="276" w:lineRule="auto"/>
        <w:ind w:left="567" w:hanging="283"/>
        <w:jc w:val="both"/>
        <w:rPr>
          <w:rFonts w:ascii="Arial" w:hAnsi="Arial" w:cs="Arial"/>
        </w:rPr>
      </w:pPr>
      <w:r w:rsidRPr="00CD7530">
        <w:rPr>
          <w:rFonts w:ascii="Arial" w:hAnsi="Arial" w:cs="Arial"/>
        </w:rPr>
        <w:t>Se autoriza expresamente al FIDUCIARIO para que permita la vigilancia y fiscalización por parte de la Superintendencia General de Entidades Financieras, colaborando con dicho órgano en todo lo referente al suministro de información, realización de revisiones periódicas, o en cualquier otra actividad que, a instancia de las mismas deba realizarse. Asimismo, para que suministre información a la Superintendencia General de Valores, a las autoridades judiciales o a cualquier otra autoridad que posea fundamentos legales para solicitarla.</w:t>
      </w:r>
    </w:p>
    <w:p w14:paraId="2169BCED" w14:textId="77777777" w:rsidR="00CD5259" w:rsidRPr="00CD7530" w:rsidRDefault="00CD5259" w:rsidP="007D4FB2">
      <w:pPr>
        <w:pStyle w:val="Prrafodelista"/>
        <w:spacing w:after="0" w:line="276" w:lineRule="auto"/>
        <w:ind w:left="786"/>
        <w:jc w:val="both"/>
        <w:rPr>
          <w:rFonts w:ascii="Arial" w:hAnsi="Arial" w:cs="Arial"/>
        </w:rPr>
      </w:pPr>
    </w:p>
    <w:p w14:paraId="6EA93370" w14:textId="6494ABC8" w:rsidR="00E47712" w:rsidRPr="006A1929" w:rsidRDefault="00E47712" w:rsidP="007D4FB2">
      <w:pPr>
        <w:pStyle w:val="Prrafodelista"/>
        <w:numPr>
          <w:ilvl w:val="0"/>
          <w:numId w:val="12"/>
        </w:numPr>
        <w:tabs>
          <w:tab w:val="left" w:pos="284"/>
        </w:tabs>
        <w:spacing w:after="0" w:line="276" w:lineRule="auto"/>
        <w:ind w:left="284" w:hanging="284"/>
        <w:jc w:val="both"/>
        <w:rPr>
          <w:rFonts w:ascii="Arial" w:hAnsi="Arial" w:cs="Arial"/>
        </w:rPr>
      </w:pPr>
      <w:r w:rsidRPr="006A1929">
        <w:rPr>
          <w:rFonts w:ascii="Arial" w:hAnsi="Arial" w:cs="Arial"/>
          <w:b/>
        </w:rPr>
        <w:t>Obligación de confidencialidad de información sensible a los procesos de titularización para la oferta pública de valores:</w:t>
      </w:r>
      <w:r w:rsidR="006A1929" w:rsidRPr="006A1929">
        <w:rPr>
          <w:rFonts w:ascii="Arial" w:hAnsi="Arial" w:cs="Arial"/>
        </w:rPr>
        <w:t xml:space="preserve"> </w:t>
      </w:r>
      <w:r w:rsidRPr="006A1929">
        <w:rPr>
          <w:rFonts w:ascii="Arial" w:hAnsi="Arial" w:cs="Arial"/>
        </w:rPr>
        <w:t>Sin demérito de los principios constitucionales vigentes y lo establecido en la Ley de Información no Divulgada,</w:t>
      </w:r>
      <w:r w:rsidR="006A1929" w:rsidRPr="006A1929">
        <w:rPr>
          <w:rFonts w:ascii="Arial" w:hAnsi="Arial" w:cs="Arial"/>
        </w:rPr>
        <w:t xml:space="preserve"> N</w:t>
      </w:r>
      <w:r w:rsidR="006A1929">
        <w:rPr>
          <w:rFonts w:ascii="Arial" w:hAnsi="Arial" w:cs="Arial"/>
        </w:rPr>
        <w:t>°</w:t>
      </w:r>
      <w:r w:rsidR="006A1929" w:rsidRPr="006A1929">
        <w:rPr>
          <w:rFonts w:ascii="Arial" w:hAnsi="Arial" w:cs="Arial"/>
        </w:rPr>
        <w:t xml:space="preserve"> 7975</w:t>
      </w:r>
      <w:r w:rsidR="006A1929">
        <w:rPr>
          <w:rFonts w:ascii="Arial" w:hAnsi="Arial" w:cs="Arial"/>
        </w:rPr>
        <w:t>,</w:t>
      </w:r>
      <w:r w:rsidRPr="006A1929">
        <w:rPr>
          <w:rFonts w:ascii="Arial" w:hAnsi="Arial" w:cs="Arial"/>
        </w:rPr>
        <w:t xml:space="preserve"> las partes se obligan a mantener estricta confidencialidad sobre la documentación e información sensible para el proceso de titularización que conozcan, reciban o intercambien en desarrollo del Contrato de Fideicomiso. </w:t>
      </w:r>
    </w:p>
    <w:p w14:paraId="6C2738BC" w14:textId="77777777" w:rsidR="00E47712" w:rsidRPr="00E47712" w:rsidRDefault="00E47712" w:rsidP="007D4FB2">
      <w:pPr>
        <w:spacing w:after="0" w:line="276" w:lineRule="auto"/>
        <w:jc w:val="both"/>
        <w:rPr>
          <w:rFonts w:ascii="Arial" w:hAnsi="Arial" w:cs="Arial"/>
        </w:rPr>
      </w:pPr>
    </w:p>
    <w:p w14:paraId="37B8779D" w14:textId="77777777" w:rsidR="00E47712" w:rsidRPr="00E47712" w:rsidRDefault="00E47712" w:rsidP="007D4FB2">
      <w:pPr>
        <w:spacing w:after="0" w:line="276" w:lineRule="auto"/>
        <w:ind w:left="284"/>
        <w:jc w:val="both"/>
        <w:rPr>
          <w:rFonts w:ascii="Arial" w:hAnsi="Arial" w:cs="Arial"/>
        </w:rPr>
      </w:pPr>
      <w:r w:rsidRPr="00E47712">
        <w:rPr>
          <w:rFonts w:ascii="Arial" w:hAnsi="Arial" w:cs="Arial"/>
        </w:rPr>
        <w:t>En particular las partes se obligan a lo siguiente:</w:t>
      </w:r>
    </w:p>
    <w:p w14:paraId="3AD18A7E" w14:textId="77777777" w:rsidR="00E47712" w:rsidRPr="00E47712" w:rsidRDefault="00E47712" w:rsidP="007D4FB2">
      <w:pPr>
        <w:spacing w:after="0" w:line="276" w:lineRule="auto"/>
        <w:ind w:left="284"/>
        <w:jc w:val="both"/>
        <w:rPr>
          <w:rFonts w:ascii="Arial" w:hAnsi="Arial" w:cs="Arial"/>
        </w:rPr>
      </w:pPr>
    </w:p>
    <w:p w14:paraId="13BAD00E" w14:textId="6F99E900" w:rsidR="00E47712" w:rsidRPr="006A1929" w:rsidRDefault="00E47712" w:rsidP="007D4FB2">
      <w:pPr>
        <w:pStyle w:val="Prrafodelista"/>
        <w:numPr>
          <w:ilvl w:val="0"/>
          <w:numId w:val="17"/>
        </w:numPr>
        <w:spacing w:after="0" w:line="276" w:lineRule="auto"/>
        <w:ind w:left="644"/>
        <w:jc w:val="both"/>
        <w:rPr>
          <w:rFonts w:ascii="Arial" w:hAnsi="Arial" w:cs="Arial"/>
        </w:rPr>
      </w:pPr>
      <w:r w:rsidRPr="006A1929">
        <w:rPr>
          <w:rFonts w:ascii="Arial" w:hAnsi="Arial" w:cs="Arial"/>
        </w:rPr>
        <w:t>Proteger la confidencialidad de la información verbal, escrita o que por cualquier modo reciban, restringiendo su uso exclusivamente a sus directores, empleados, divisiones o contratistas que tengan absoluta necesidad de conocerla para los efectos del desarrollo del objeto del Contrato de Fideicomiso.</w:t>
      </w:r>
    </w:p>
    <w:p w14:paraId="00CC591F" w14:textId="77777777" w:rsidR="00E47712" w:rsidRPr="00E47712" w:rsidRDefault="00E47712" w:rsidP="007D4FB2">
      <w:pPr>
        <w:spacing w:after="0" w:line="276" w:lineRule="auto"/>
        <w:jc w:val="both"/>
        <w:rPr>
          <w:rFonts w:ascii="Arial" w:hAnsi="Arial" w:cs="Arial"/>
        </w:rPr>
      </w:pPr>
    </w:p>
    <w:p w14:paraId="3A8397EF" w14:textId="1DDE9A0C" w:rsidR="00E47712" w:rsidRPr="00E47712" w:rsidRDefault="00E47712" w:rsidP="007D4FB2">
      <w:pPr>
        <w:pStyle w:val="Prrafodelista"/>
        <w:numPr>
          <w:ilvl w:val="0"/>
          <w:numId w:val="17"/>
        </w:numPr>
        <w:spacing w:after="0" w:line="276" w:lineRule="auto"/>
        <w:ind w:left="644"/>
        <w:jc w:val="both"/>
        <w:rPr>
          <w:rFonts w:ascii="Arial" w:hAnsi="Arial" w:cs="Arial"/>
        </w:rPr>
      </w:pPr>
      <w:r w:rsidRPr="00E47712">
        <w:rPr>
          <w:rFonts w:ascii="Arial" w:hAnsi="Arial" w:cs="Arial"/>
        </w:rPr>
        <w:t>Garantizar que las personas que tengan acceso a la información conozcan su carácter de confidencial. En consecuencia, se obligan a mantener mecanismos internos adecuados para proteger la confidencialidad de la misma.</w:t>
      </w:r>
    </w:p>
    <w:p w14:paraId="75752C8C" w14:textId="1A730982" w:rsidR="00E47712" w:rsidRPr="00E47712" w:rsidRDefault="00E47712" w:rsidP="007D4FB2">
      <w:pPr>
        <w:pStyle w:val="Prrafodelista"/>
        <w:numPr>
          <w:ilvl w:val="0"/>
          <w:numId w:val="17"/>
        </w:numPr>
        <w:spacing w:after="0" w:line="276" w:lineRule="auto"/>
        <w:ind w:left="644"/>
        <w:jc w:val="both"/>
        <w:rPr>
          <w:rFonts w:ascii="Arial" w:hAnsi="Arial" w:cs="Arial"/>
        </w:rPr>
      </w:pPr>
      <w:r w:rsidRPr="00E47712">
        <w:rPr>
          <w:rFonts w:ascii="Arial" w:hAnsi="Arial" w:cs="Arial"/>
        </w:rPr>
        <w:lastRenderedPageBreak/>
        <w:t>Utilizar la información única y exclusivamente para los fines estipulados en el Contrato de Fideicomiso.</w:t>
      </w:r>
    </w:p>
    <w:p w14:paraId="2B3AE980" w14:textId="77777777" w:rsidR="00E47712" w:rsidRPr="00E47712" w:rsidRDefault="00E47712" w:rsidP="007D4FB2">
      <w:pPr>
        <w:pStyle w:val="Prrafodelista"/>
        <w:spacing w:after="0" w:line="276" w:lineRule="auto"/>
        <w:ind w:left="644"/>
        <w:jc w:val="both"/>
        <w:rPr>
          <w:rFonts w:ascii="Arial" w:hAnsi="Arial" w:cs="Arial"/>
        </w:rPr>
      </w:pPr>
    </w:p>
    <w:p w14:paraId="0E1CAA0C" w14:textId="41A3CDB8" w:rsidR="00E47712" w:rsidRPr="00E47712" w:rsidRDefault="006A1929" w:rsidP="007D4FB2">
      <w:pPr>
        <w:pStyle w:val="Prrafodelista"/>
        <w:numPr>
          <w:ilvl w:val="0"/>
          <w:numId w:val="17"/>
        </w:numPr>
        <w:spacing w:after="0" w:line="276" w:lineRule="auto"/>
        <w:ind w:left="644"/>
        <w:jc w:val="both"/>
        <w:rPr>
          <w:rFonts w:ascii="Arial" w:hAnsi="Arial" w:cs="Arial"/>
        </w:rPr>
      </w:pPr>
      <w:r>
        <w:rPr>
          <w:rFonts w:ascii="Arial" w:hAnsi="Arial" w:cs="Arial"/>
        </w:rPr>
        <w:t>N</w:t>
      </w:r>
      <w:r w:rsidR="00E47712" w:rsidRPr="00E47712">
        <w:rPr>
          <w:rFonts w:ascii="Arial" w:hAnsi="Arial" w:cs="Arial"/>
        </w:rPr>
        <w:t>o publicar, comunicar, divulgar, revelar, ni utilizar, ni permitir que directores, empleados, divisiones o cualquier otro tercero que haya tenido acceso a la información, publique, comunique, divulgue, revele o utilice la información.</w:t>
      </w:r>
    </w:p>
    <w:p w14:paraId="7CB439F7" w14:textId="77777777" w:rsidR="00E47712" w:rsidRPr="00E47712" w:rsidRDefault="00E47712" w:rsidP="007D4FB2">
      <w:pPr>
        <w:pStyle w:val="Prrafodelista"/>
        <w:spacing w:after="0" w:line="276" w:lineRule="auto"/>
        <w:ind w:left="644"/>
        <w:jc w:val="both"/>
        <w:rPr>
          <w:rFonts w:ascii="Arial" w:hAnsi="Arial" w:cs="Arial"/>
        </w:rPr>
      </w:pPr>
    </w:p>
    <w:p w14:paraId="2920ADFF" w14:textId="58FE29D2" w:rsidR="00E47712" w:rsidRPr="00E47712" w:rsidRDefault="00E47712" w:rsidP="007D4FB2">
      <w:pPr>
        <w:pStyle w:val="Prrafodelista"/>
        <w:numPr>
          <w:ilvl w:val="0"/>
          <w:numId w:val="17"/>
        </w:numPr>
        <w:spacing w:after="0" w:line="276" w:lineRule="auto"/>
        <w:ind w:left="644"/>
        <w:jc w:val="both"/>
        <w:rPr>
          <w:rFonts w:ascii="Arial" w:hAnsi="Arial" w:cs="Arial"/>
        </w:rPr>
      </w:pPr>
      <w:r w:rsidRPr="00E47712">
        <w:rPr>
          <w:rFonts w:ascii="Arial" w:hAnsi="Arial" w:cs="Arial"/>
        </w:rPr>
        <w:t xml:space="preserve">Cumplir la obligación de confidencialidad de conformidad con el Contrato de Fideicomiso, de la misma forma y con el mismo cuidado con que se realiza la protección de la información confidencial propia. No obstante, lo anterior, las partes acuerdan como excepciones a esta obligación de confidencialidad, las siguientes: </w:t>
      </w:r>
    </w:p>
    <w:p w14:paraId="65BFCD73" w14:textId="77777777" w:rsidR="00E47712" w:rsidRPr="00E47712" w:rsidRDefault="00E47712" w:rsidP="007D4FB2">
      <w:pPr>
        <w:tabs>
          <w:tab w:val="left" w:pos="709"/>
        </w:tabs>
        <w:spacing w:after="0" w:line="276" w:lineRule="auto"/>
        <w:jc w:val="both"/>
        <w:rPr>
          <w:rFonts w:ascii="Arial" w:hAnsi="Arial" w:cs="Arial"/>
        </w:rPr>
      </w:pPr>
    </w:p>
    <w:p w14:paraId="0A39AF5D" w14:textId="7FDCA615" w:rsidR="00E47712" w:rsidRPr="006A1929" w:rsidRDefault="00E47712" w:rsidP="007D4FB2">
      <w:pPr>
        <w:pStyle w:val="Prrafodelista"/>
        <w:numPr>
          <w:ilvl w:val="0"/>
          <w:numId w:val="16"/>
        </w:numPr>
        <w:tabs>
          <w:tab w:val="left" w:pos="709"/>
        </w:tabs>
        <w:spacing w:after="0" w:line="276" w:lineRule="auto"/>
        <w:ind w:left="709" w:firstLine="0"/>
        <w:jc w:val="both"/>
        <w:rPr>
          <w:rFonts w:ascii="Arial" w:hAnsi="Arial" w:cs="Arial"/>
        </w:rPr>
      </w:pPr>
      <w:r w:rsidRPr="006A1929">
        <w:rPr>
          <w:rFonts w:ascii="Arial" w:hAnsi="Arial" w:cs="Arial"/>
        </w:rPr>
        <w:t xml:space="preserve">Información que en el momento de la revelación ya fuera del dominio público o que después de la revelación se publique o llegue a pertenecer al dominio público, a no, ser que ello ocurra como consecuencia de la violación de alguna de las Partes o de sus directores, empleados, divisiones o contratistas, a sus obligaciones de confidencialidad establecidas en el Contrato de Fideicomiso. </w:t>
      </w:r>
    </w:p>
    <w:p w14:paraId="62093C8E" w14:textId="77777777" w:rsidR="00E47712" w:rsidRPr="00E47712" w:rsidRDefault="00E47712" w:rsidP="007D4FB2">
      <w:pPr>
        <w:tabs>
          <w:tab w:val="left" w:pos="709"/>
        </w:tabs>
        <w:spacing w:after="0" w:line="276" w:lineRule="auto"/>
        <w:ind w:left="709"/>
        <w:jc w:val="both"/>
        <w:rPr>
          <w:rFonts w:ascii="Arial" w:hAnsi="Arial" w:cs="Arial"/>
        </w:rPr>
      </w:pPr>
    </w:p>
    <w:p w14:paraId="1764EF27" w14:textId="40CA2B96" w:rsidR="00E47712" w:rsidRPr="006A1929" w:rsidRDefault="00E47712" w:rsidP="007D4FB2">
      <w:pPr>
        <w:pStyle w:val="Prrafodelista"/>
        <w:numPr>
          <w:ilvl w:val="0"/>
          <w:numId w:val="16"/>
        </w:numPr>
        <w:tabs>
          <w:tab w:val="left" w:pos="709"/>
        </w:tabs>
        <w:spacing w:after="0" w:line="276" w:lineRule="auto"/>
        <w:ind w:left="709" w:firstLine="0"/>
        <w:jc w:val="both"/>
        <w:rPr>
          <w:rFonts w:ascii="Arial" w:hAnsi="Arial" w:cs="Arial"/>
        </w:rPr>
      </w:pPr>
      <w:r w:rsidRPr="006A1929">
        <w:rPr>
          <w:rFonts w:ascii="Arial" w:hAnsi="Arial" w:cs="Arial"/>
        </w:rPr>
        <w:t xml:space="preserve">Información que pueda demostrarse que ha sido independientemente desarrollada por alguna de las Partes o adquirida de un tercero que a su vez hubiese recibido dicha información sin restricciones directas, o indirectas, sobre su posterior divulgación. </w:t>
      </w:r>
    </w:p>
    <w:p w14:paraId="16375D4C" w14:textId="77777777" w:rsidR="00E47712" w:rsidRPr="00E47712" w:rsidRDefault="00E47712" w:rsidP="007D4FB2">
      <w:pPr>
        <w:tabs>
          <w:tab w:val="left" w:pos="709"/>
        </w:tabs>
        <w:spacing w:after="0" w:line="276" w:lineRule="auto"/>
        <w:ind w:left="709"/>
        <w:jc w:val="both"/>
        <w:rPr>
          <w:rFonts w:ascii="Arial" w:hAnsi="Arial" w:cs="Arial"/>
        </w:rPr>
      </w:pPr>
    </w:p>
    <w:p w14:paraId="6502F3F0" w14:textId="58875ED7" w:rsidR="00E47712" w:rsidRPr="006A1929" w:rsidRDefault="00E47712" w:rsidP="007D4FB2">
      <w:pPr>
        <w:pStyle w:val="Prrafodelista"/>
        <w:numPr>
          <w:ilvl w:val="0"/>
          <w:numId w:val="16"/>
        </w:numPr>
        <w:tabs>
          <w:tab w:val="left" w:pos="709"/>
        </w:tabs>
        <w:spacing w:after="0" w:line="276" w:lineRule="auto"/>
        <w:ind w:left="709" w:firstLine="0"/>
        <w:jc w:val="both"/>
        <w:rPr>
          <w:rFonts w:ascii="Arial" w:hAnsi="Arial" w:cs="Arial"/>
        </w:rPr>
      </w:pPr>
      <w:r w:rsidRPr="006A1929">
        <w:rPr>
          <w:rFonts w:ascii="Arial" w:hAnsi="Arial" w:cs="Arial"/>
        </w:rPr>
        <w:t>En aquellos casos en que la divulgación de la información sea requerida por la ley, Autoridades Reguladoras y/o Autoridades Legales.</w:t>
      </w:r>
    </w:p>
    <w:p w14:paraId="3D553B65" w14:textId="77777777" w:rsidR="00E47712" w:rsidRPr="00E47712" w:rsidRDefault="00E47712" w:rsidP="007D4FB2">
      <w:pPr>
        <w:spacing w:after="0" w:line="276" w:lineRule="auto"/>
        <w:jc w:val="both"/>
        <w:rPr>
          <w:rFonts w:ascii="Arial" w:hAnsi="Arial" w:cs="Arial"/>
        </w:rPr>
      </w:pPr>
    </w:p>
    <w:p w14:paraId="326DD1C4" w14:textId="5AC73FED" w:rsidR="00E47712" w:rsidRPr="006A1929" w:rsidRDefault="00E47712" w:rsidP="007D4FB2">
      <w:pPr>
        <w:pStyle w:val="Prrafodelista"/>
        <w:numPr>
          <w:ilvl w:val="0"/>
          <w:numId w:val="12"/>
        </w:numPr>
        <w:tabs>
          <w:tab w:val="left" w:pos="284"/>
        </w:tabs>
        <w:spacing w:after="0" w:line="276" w:lineRule="auto"/>
        <w:ind w:left="284" w:hanging="284"/>
        <w:jc w:val="both"/>
        <w:rPr>
          <w:rFonts w:ascii="Arial" w:hAnsi="Arial" w:cs="Arial"/>
          <w:b/>
        </w:rPr>
      </w:pPr>
      <w:r w:rsidRPr="006A1929">
        <w:rPr>
          <w:rFonts w:ascii="Arial" w:hAnsi="Arial" w:cs="Arial"/>
          <w:b/>
        </w:rPr>
        <w:t>De las modificaciones de las características de la emisión:</w:t>
      </w:r>
      <w:r w:rsidR="006A1929">
        <w:rPr>
          <w:rFonts w:ascii="Arial" w:hAnsi="Arial" w:cs="Arial"/>
          <w:b/>
        </w:rPr>
        <w:t xml:space="preserve"> </w:t>
      </w:r>
      <w:r w:rsidRPr="006A1929">
        <w:rPr>
          <w:rFonts w:ascii="Arial" w:hAnsi="Arial" w:cs="Arial"/>
        </w:rPr>
        <w:t>Las características de las emisiones de los valores de oferta pública, reguladas en el Contrato de Fideicomiso y en el prospecto de emisión según corresponda, solo podrán ser modificaciones en asamblea de Inversionistas, de conformidad con lo dispuesto en la regulación emitida por el CONASSIF y la SUGEVAL, específicamente en cuanto a la mayoría requerida para su aprobación.</w:t>
      </w:r>
    </w:p>
    <w:p w14:paraId="3A150B71" w14:textId="77777777" w:rsidR="00E47712" w:rsidRPr="00E47712" w:rsidRDefault="00E47712" w:rsidP="007D4FB2">
      <w:pPr>
        <w:spacing w:after="0" w:line="276" w:lineRule="auto"/>
        <w:jc w:val="both"/>
        <w:rPr>
          <w:rFonts w:ascii="Arial" w:hAnsi="Arial" w:cs="Arial"/>
        </w:rPr>
      </w:pPr>
    </w:p>
    <w:p w14:paraId="615AE2FA" w14:textId="1DC2C647" w:rsidR="00E47712" w:rsidRDefault="00E47712" w:rsidP="007D4FB2">
      <w:pPr>
        <w:spacing w:after="0" w:line="276" w:lineRule="auto"/>
        <w:ind w:left="284"/>
        <w:jc w:val="both"/>
        <w:rPr>
          <w:rFonts w:ascii="Arial" w:hAnsi="Arial" w:cs="Arial"/>
        </w:rPr>
      </w:pPr>
      <w:r w:rsidRPr="00E47712">
        <w:rPr>
          <w:rFonts w:ascii="Arial" w:hAnsi="Arial" w:cs="Arial"/>
        </w:rPr>
        <w:t>La Asamblea de Inversionistas deberá ser convocada por el fiduciario. La convocatoria de las asambleas de inversionistas se realizará mediante publicación en un diario de circulación nacional, con una anticipación de al menos quince días calendario a la fecha de realización de la asamblea de inversionistas. La mayoría requerida para la aprobación de las modificaciones será la indicada en el Reglamento sobre oferta Pública de Valores.</w:t>
      </w:r>
    </w:p>
    <w:p w14:paraId="3DECCABD" w14:textId="77777777" w:rsidR="00E47712" w:rsidRPr="00CD7530" w:rsidRDefault="00E47712" w:rsidP="007D4FB2">
      <w:pPr>
        <w:spacing w:after="0" w:line="276" w:lineRule="auto"/>
        <w:jc w:val="both"/>
        <w:rPr>
          <w:rFonts w:ascii="Arial" w:hAnsi="Arial" w:cs="Arial"/>
        </w:rPr>
      </w:pPr>
    </w:p>
    <w:p w14:paraId="2BD45814" w14:textId="776763DD" w:rsidR="00E74271" w:rsidRPr="00FD03E2" w:rsidRDefault="00E74271" w:rsidP="007D4FB2">
      <w:pPr>
        <w:pStyle w:val="Prrafodelista"/>
        <w:numPr>
          <w:ilvl w:val="0"/>
          <w:numId w:val="12"/>
        </w:numPr>
        <w:tabs>
          <w:tab w:val="left" w:pos="284"/>
        </w:tabs>
        <w:spacing w:after="0" w:line="276" w:lineRule="auto"/>
        <w:ind w:left="284" w:hanging="284"/>
        <w:jc w:val="both"/>
        <w:rPr>
          <w:rFonts w:ascii="Arial" w:hAnsi="Arial" w:cs="Arial"/>
        </w:rPr>
      </w:pPr>
      <w:r w:rsidRPr="00BF7CAA">
        <w:rPr>
          <w:rFonts w:ascii="Arial" w:hAnsi="Arial" w:cs="Arial"/>
          <w:b/>
          <w:bCs/>
        </w:rPr>
        <w:lastRenderedPageBreak/>
        <w:t>Mecanismo de seguridad o apoyo crediticio:</w:t>
      </w:r>
      <w:r w:rsidR="00FD03E2">
        <w:rPr>
          <w:rFonts w:ascii="Arial" w:hAnsi="Arial" w:cs="Arial"/>
        </w:rPr>
        <w:t xml:space="preserve"> </w:t>
      </w:r>
      <w:r w:rsidRPr="00FD03E2">
        <w:rPr>
          <w:rFonts w:ascii="Arial" w:hAnsi="Arial" w:cs="Arial"/>
        </w:rPr>
        <w:t>Como mecanismo interno o externo de respaldo crediticio colateral, el F</w:t>
      </w:r>
      <w:r w:rsidR="00FD03E2" w:rsidRPr="00FD03E2">
        <w:rPr>
          <w:rFonts w:ascii="Arial" w:hAnsi="Arial" w:cs="Arial"/>
        </w:rPr>
        <w:t>ideicomiso</w:t>
      </w:r>
      <w:r w:rsidRPr="00FD03E2">
        <w:rPr>
          <w:rFonts w:ascii="Arial" w:hAnsi="Arial" w:cs="Arial"/>
        </w:rPr>
        <w:t xml:space="preserve"> podrá optar por la suscripción de garantías, avales o seguros que finalmente determinen de consuno con el F</w:t>
      </w:r>
      <w:r w:rsidR="00FD03E2" w:rsidRPr="00FD03E2">
        <w:rPr>
          <w:rFonts w:ascii="Arial" w:hAnsi="Arial" w:cs="Arial"/>
        </w:rPr>
        <w:t>ideicomitente</w:t>
      </w:r>
      <w:r w:rsidRPr="00FD03E2">
        <w:rPr>
          <w:rFonts w:ascii="Arial" w:hAnsi="Arial" w:cs="Arial"/>
        </w:rPr>
        <w:t xml:space="preserve"> y el F</w:t>
      </w:r>
      <w:r w:rsidR="00FD03E2" w:rsidRPr="00FD03E2">
        <w:rPr>
          <w:rFonts w:ascii="Arial" w:hAnsi="Arial" w:cs="Arial"/>
        </w:rPr>
        <w:t>iduciario</w:t>
      </w:r>
      <w:r w:rsidRPr="00FD03E2">
        <w:rPr>
          <w:rFonts w:ascii="Arial" w:hAnsi="Arial" w:cs="Arial"/>
        </w:rPr>
        <w:t>, para cada una de las series de la emisión, todo ello sin perjuicio del Fondo de Mejorador de crédito que al efecto se constituirá al tenor de la</w:t>
      </w:r>
      <w:r w:rsidR="00FD03E2" w:rsidRPr="00FD03E2">
        <w:rPr>
          <w:rFonts w:ascii="Arial" w:hAnsi="Arial" w:cs="Arial"/>
        </w:rPr>
        <w:t>s</w:t>
      </w:r>
      <w:r w:rsidRPr="00FD03E2">
        <w:rPr>
          <w:rFonts w:ascii="Arial" w:hAnsi="Arial" w:cs="Arial"/>
        </w:rPr>
        <w:t xml:space="preserve"> siguient</w:t>
      </w:r>
      <w:r w:rsidR="00254E20" w:rsidRPr="00FD03E2">
        <w:rPr>
          <w:rFonts w:ascii="Arial" w:hAnsi="Arial" w:cs="Arial"/>
        </w:rPr>
        <w:t>es condiciones:</w:t>
      </w:r>
    </w:p>
    <w:p w14:paraId="0C43C233" w14:textId="77777777" w:rsidR="00E74271" w:rsidRPr="00CD7530" w:rsidRDefault="00E74271" w:rsidP="007D4FB2">
      <w:pPr>
        <w:spacing w:after="0" w:line="276" w:lineRule="auto"/>
        <w:jc w:val="both"/>
        <w:rPr>
          <w:rFonts w:ascii="Arial" w:hAnsi="Arial" w:cs="Arial"/>
        </w:rPr>
      </w:pPr>
    </w:p>
    <w:p w14:paraId="1E7DC438" w14:textId="77777777" w:rsidR="00E74271" w:rsidRPr="00E47712" w:rsidRDefault="00E74271" w:rsidP="007D4FB2">
      <w:pPr>
        <w:spacing w:after="0" w:line="276" w:lineRule="auto"/>
        <w:ind w:left="284"/>
        <w:jc w:val="both"/>
        <w:rPr>
          <w:rFonts w:ascii="Arial" w:hAnsi="Arial" w:cs="Arial"/>
          <w:b/>
        </w:rPr>
      </w:pPr>
      <w:r w:rsidRPr="00E47712">
        <w:rPr>
          <w:rFonts w:ascii="Arial" w:hAnsi="Arial" w:cs="Arial"/>
          <w:b/>
        </w:rPr>
        <w:t>Fondo de Mejorador de Crédito</w:t>
      </w:r>
    </w:p>
    <w:p w14:paraId="59DD59D4" w14:textId="77777777" w:rsidR="00E74271" w:rsidRPr="00CD7530" w:rsidRDefault="00E74271" w:rsidP="007D4FB2">
      <w:pPr>
        <w:spacing w:after="0" w:line="276" w:lineRule="auto"/>
        <w:ind w:left="284"/>
        <w:jc w:val="both"/>
        <w:rPr>
          <w:rFonts w:ascii="Arial" w:hAnsi="Arial" w:cs="Arial"/>
        </w:rPr>
      </w:pPr>
    </w:p>
    <w:p w14:paraId="1BCC10C8" w14:textId="44A89065" w:rsidR="00E74271" w:rsidRPr="00CD7530" w:rsidRDefault="00E74271" w:rsidP="007D4FB2">
      <w:pPr>
        <w:spacing w:after="0" w:line="276" w:lineRule="auto"/>
        <w:ind w:left="284"/>
        <w:jc w:val="both"/>
        <w:rPr>
          <w:rFonts w:ascii="Arial" w:hAnsi="Arial" w:cs="Arial"/>
        </w:rPr>
      </w:pPr>
      <w:r w:rsidRPr="00CD7530">
        <w:rPr>
          <w:rFonts w:ascii="Arial" w:hAnsi="Arial" w:cs="Arial"/>
        </w:rPr>
        <w:t>El F</w:t>
      </w:r>
      <w:r w:rsidR="00D311A0" w:rsidRPr="00CD7530">
        <w:rPr>
          <w:rFonts w:ascii="Arial" w:hAnsi="Arial" w:cs="Arial"/>
        </w:rPr>
        <w:t>iduciario</w:t>
      </w:r>
      <w:r w:rsidRPr="00CD7530">
        <w:rPr>
          <w:rFonts w:ascii="Arial" w:hAnsi="Arial" w:cs="Arial"/>
        </w:rPr>
        <w:t xml:space="preserve"> junto al F</w:t>
      </w:r>
      <w:r w:rsidR="00D311A0" w:rsidRPr="00CD7530">
        <w:rPr>
          <w:rFonts w:ascii="Arial" w:hAnsi="Arial" w:cs="Arial"/>
        </w:rPr>
        <w:t>ideicomitente</w:t>
      </w:r>
      <w:r w:rsidRPr="00CD7530">
        <w:rPr>
          <w:rFonts w:ascii="Arial" w:hAnsi="Arial" w:cs="Arial"/>
        </w:rPr>
        <w:t xml:space="preserve"> y con una periodicidad anual, proyectarán los recursos que deberá administrar el Fondo mejorador de Crédito para hacer frente a eventualidades que se presenten en el transcurso del Contrato de F</w:t>
      </w:r>
      <w:r w:rsidR="00D311A0" w:rsidRPr="00CD7530">
        <w:rPr>
          <w:rFonts w:ascii="Arial" w:hAnsi="Arial" w:cs="Arial"/>
        </w:rPr>
        <w:t>ideicomiso</w:t>
      </w:r>
      <w:r w:rsidRPr="00CD7530">
        <w:rPr>
          <w:rFonts w:ascii="Arial" w:hAnsi="Arial" w:cs="Arial"/>
        </w:rPr>
        <w:t>.</w:t>
      </w:r>
    </w:p>
    <w:p w14:paraId="7EAC784F" w14:textId="77777777" w:rsidR="00E74271" w:rsidRPr="00CD7530" w:rsidRDefault="00E74271" w:rsidP="007D4FB2">
      <w:pPr>
        <w:spacing w:after="0" w:line="276" w:lineRule="auto"/>
        <w:ind w:left="284"/>
        <w:jc w:val="both"/>
        <w:rPr>
          <w:rFonts w:ascii="Arial" w:hAnsi="Arial" w:cs="Arial"/>
        </w:rPr>
      </w:pPr>
    </w:p>
    <w:p w14:paraId="39905C9F" w14:textId="66542F77" w:rsidR="00E74271" w:rsidRPr="00CD7530" w:rsidRDefault="00E74271" w:rsidP="007D4FB2">
      <w:pPr>
        <w:spacing w:after="0" w:line="276" w:lineRule="auto"/>
        <w:ind w:left="284"/>
        <w:jc w:val="both"/>
        <w:rPr>
          <w:rFonts w:ascii="Arial" w:hAnsi="Arial" w:cs="Arial"/>
        </w:rPr>
      </w:pPr>
      <w:r w:rsidRPr="00CD7530">
        <w:rPr>
          <w:rFonts w:ascii="Arial" w:hAnsi="Arial" w:cs="Arial"/>
        </w:rPr>
        <w:t>El F</w:t>
      </w:r>
      <w:r w:rsidR="00D311A0" w:rsidRPr="00CD7530">
        <w:rPr>
          <w:rFonts w:ascii="Arial" w:hAnsi="Arial" w:cs="Arial"/>
        </w:rPr>
        <w:t>ideicomiso</w:t>
      </w:r>
      <w:r w:rsidRPr="00CD7530">
        <w:rPr>
          <w:rFonts w:ascii="Arial" w:hAnsi="Arial" w:cs="Arial"/>
        </w:rPr>
        <w:t xml:space="preserve"> constituirá un Fondo Mejorador de Crédito que se alimentará con el aporte del F</w:t>
      </w:r>
      <w:r w:rsidR="00D311A0" w:rsidRPr="00CD7530">
        <w:rPr>
          <w:rFonts w:ascii="Arial" w:hAnsi="Arial" w:cs="Arial"/>
        </w:rPr>
        <w:t>ideicomitente</w:t>
      </w:r>
      <w:r w:rsidRPr="00CD7530">
        <w:rPr>
          <w:rFonts w:ascii="Arial" w:hAnsi="Arial" w:cs="Arial"/>
        </w:rPr>
        <w:t xml:space="preserve"> que corresponde un sobre colateral de la cartera cedida o en su defecto a un proceso automático de sustitución de contratos cedidos, que sirvan para establecer el mejorador crediticio, las partes contratantes en este fideicomiso determinarán el monto máximo que alcanzará este fondo de mejora para servir como garantía de crédito.</w:t>
      </w:r>
    </w:p>
    <w:p w14:paraId="037C8556" w14:textId="54241E2C" w:rsidR="00FD03E2" w:rsidRDefault="00E74271" w:rsidP="007D4FB2">
      <w:pPr>
        <w:spacing w:after="0" w:line="276" w:lineRule="auto"/>
        <w:ind w:left="284"/>
        <w:jc w:val="both"/>
        <w:rPr>
          <w:rFonts w:ascii="Arial" w:hAnsi="Arial" w:cs="Arial"/>
        </w:rPr>
      </w:pPr>
      <w:r w:rsidRPr="00CD7530">
        <w:rPr>
          <w:rFonts w:ascii="Arial" w:hAnsi="Arial" w:cs="Arial"/>
        </w:rPr>
        <w:t>El F</w:t>
      </w:r>
      <w:r w:rsidR="00D311A0" w:rsidRPr="00CD7530">
        <w:rPr>
          <w:rFonts w:ascii="Arial" w:hAnsi="Arial" w:cs="Arial"/>
        </w:rPr>
        <w:t>iduciario</w:t>
      </w:r>
      <w:r w:rsidRPr="00CD7530">
        <w:rPr>
          <w:rFonts w:ascii="Arial" w:hAnsi="Arial" w:cs="Arial"/>
        </w:rPr>
        <w:t xml:space="preserve"> invertirá los recursos aquí mencionados, en valores y cualquier otro tipo de instrumento de inversión que haya sido aprobado en el Reglamento de políticas de inversión, y según los criterios de diversificación que establezca el mismo. El Reglamento de políticas de inversión regula aspectos de concentración y diversificación de los recursos administrados por el Fideicomiso, considerando la naturaleza de sus obligaciones, apegado a los principios de una correcta y prudente administración del riesgo. </w:t>
      </w:r>
    </w:p>
    <w:p w14:paraId="27E675E9" w14:textId="77777777" w:rsidR="00FD03E2" w:rsidRDefault="00FD03E2" w:rsidP="007D4FB2">
      <w:pPr>
        <w:spacing w:after="0" w:line="276" w:lineRule="auto"/>
        <w:ind w:left="284"/>
        <w:jc w:val="both"/>
        <w:rPr>
          <w:rFonts w:ascii="Arial" w:hAnsi="Arial" w:cs="Arial"/>
        </w:rPr>
      </w:pPr>
    </w:p>
    <w:p w14:paraId="233C2AD7" w14:textId="152C1358" w:rsidR="00E74271" w:rsidRPr="00CD7530" w:rsidRDefault="00E74271" w:rsidP="007D4FB2">
      <w:pPr>
        <w:spacing w:after="0" w:line="276" w:lineRule="auto"/>
        <w:ind w:left="284"/>
        <w:jc w:val="both"/>
        <w:rPr>
          <w:rFonts w:ascii="Arial" w:hAnsi="Arial" w:cs="Arial"/>
        </w:rPr>
      </w:pPr>
      <w:r w:rsidRPr="00CD7530">
        <w:rPr>
          <w:rFonts w:ascii="Arial" w:hAnsi="Arial" w:cs="Arial"/>
        </w:rPr>
        <w:t>Dicho Regl</w:t>
      </w:r>
      <w:r w:rsidR="00D311A0">
        <w:rPr>
          <w:rFonts w:ascii="Arial" w:hAnsi="Arial" w:cs="Arial"/>
        </w:rPr>
        <w:t>a</w:t>
      </w:r>
      <w:r w:rsidRPr="00CD7530">
        <w:rPr>
          <w:rFonts w:ascii="Arial" w:hAnsi="Arial" w:cs="Arial"/>
        </w:rPr>
        <w:t>mento deberá ser elaborado por el F</w:t>
      </w:r>
      <w:r w:rsidR="00D311A0" w:rsidRPr="00CD7530">
        <w:rPr>
          <w:rFonts w:ascii="Arial" w:hAnsi="Arial" w:cs="Arial"/>
        </w:rPr>
        <w:t>iduciario</w:t>
      </w:r>
      <w:r w:rsidRPr="00CD7530">
        <w:rPr>
          <w:rFonts w:ascii="Arial" w:hAnsi="Arial" w:cs="Arial"/>
        </w:rPr>
        <w:t xml:space="preserve"> y presentado para su visto bueno al F</w:t>
      </w:r>
      <w:r w:rsidR="00D311A0" w:rsidRPr="00CD7530">
        <w:rPr>
          <w:rFonts w:ascii="Arial" w:hAnsi="Arial" w:cs="Arial"/>
        </w:rPr>
        <w:t>ideicomitente</w:t>
      </w:r>
      <w:r w:rsidRPr="00CD7530">
        <w:rPr>
          <w:rFonts w:ascii="Arial" w:hAnsi="Arial" w:cs="Arial"/>
        </w:rPr>
        <w:t>. El Comité de Vigilancia velará porque los recursos del Fondo de Mejorador de Crédito se inviertan en instrumentos de inversión de alta seguridad y efectiva liquidez, según las condiciones existentes en los mercados financieros nacional e internacional, las disposiciones contenidas en el manual de referencia y en el Reglamento Interno de Administración de Inversiones del presente Fideicomiso de Titularización.</w:t>
      </w:r>
      <w:r w:rsidR="007D4FB2">
        <w:rPr>
          <w:rFonts w:ascii="Arial" w:hAnsi="Arial" w:cs="Arial"/>
        </w:rPr>
        <w:t xml:space="preserve"> </w:t>
      </w:r>
      <w:r w:rsidRPr="00CD7530">
        <w:rPr>
          <w:rFonts w:ascii="Arial" w:hAnsi="Arial" w:cs="Arial"/>
        </w:rPr>
        <w:t>No obstante, lo anterior, dichas políticas no garantizan la solvencia de los emisores, ya que éstos son los únicos responsables del pago de los documentos y quienes resultan legalmente obligados a ello.</w:t>
      </w:r>
    </w:p>
    <w:p w14:paraId="56444A6D" w14:textId="77777777" w:rsidR="00E74271" w:rsidRPr="00CD7530" w:rsidRDefault="00E74271" w:rsidP="007D4FB2">
      <w:pPr>
        <w:spacing w:after="0" w:line="276" w:lineRule="auto"/>
        <w:ind w:left="284"/>
        <w:jc w:val="both"/>
        <w:rPr>
          <w:rFonts w:ascii="Arial" w:hAnsi="Arial" w:cs="Arial"/>
        </w:rPr>
      </w:pPr>
    </w:p>
    <w:p w14:paraId="14E82D03" w14:textId="6A4162C4" w:rsidR="00145A17" w:rsidRDefault="00E74271" w:rsidP="007D4FB2">
      <w:pPr>
        <w:spacing w:after="0" w:line="276" w:lineRule="auto"/>
        <w:ind w:left="284"/>
        <w:jc w:val="both"/>
        <w:rPr>
          <w:rFonts w:ascii="Arial" w:hAnsi="Arial" w:cs="Arial"/>
        </w:rPr>
      </w:pPr>
      <w:r w:rsidRPr="00CD7530">
        <w:rPr>
          <w:rFonts w:ascii="Arial" w:hAnsi="Arial" w:cs="Arial"/>
        </w:rPr>
        <w:t>Cualquier remanente que quede después de haberse amortizado en su totalidad las emisiones del Contrato de F</w:t>
      </w:r>
      <w:r w:rsidR="00D311A0" w:rsidRPr="00CD7530">
        <w:rPr>
          <w:rFonts w:ascii="Arial" w:hAnsi="Arial" w:cs="Arial"/>
        </w:rPr>
        <w:t>ideicomiso</w:t>
      </w:r>
      <w:r w:rsidRPr="00CD7530">
        <w:rPr>
          <w:rFonts w:ascii="Arial" w:hAnsi="Arial" w:cs="Arial"/>
        </w:rPr>
        <w:t xml:space="preserve"> y cualquier gasto pendiente de pago del mismo, pertenecerá al F</w:t>
      </w:r>
      <w:r w:rsidR="00D311A0" w:rsidRPr="00CD7530">
        <w:rPr>
          <w:rFonts w:ascii="Arial" w:hAnsi="Arial" w:cs="Arial"/>
        </w:rPr>
        <w:t>ideicomisario</w:t>
      </w:r>
      <w:r w:rsidRPr="00CD7530">
        <w:rPr>
          <w:rFonts w:ascii="Arial" w:hAnsi="Arial" w:cs="Arial"/>
        </w:rPr>
        <w:t xml:space="preserve">. En el caso de que el saldo del Fondo de Mejorador Crédito </w:t>
      </w:r>
      <w:r w:rsidRPr="00CD7530">
        <w:rPr>
          <w:rFonts w:ascii="Arial" w:hAnsi="Arial" w:cs="Arial"/>
        </w:rPr>
        <w:lastRenderedPageBreak/>
        <w:t>llegue a ser mayor o igual al saldo pendiente de amortizar de la última emisión en circulación, el F</w:t>
      </w:r>
      <w:r w:rsidR="00D311A0" w:rsidRPr="00CD7530">
        <w:rPr>
          <w:rFonts w:ascii="Arial" w:hAnsi="Arial" w:cs="Arial"/>
        </w:rPr>
        <w:t>iduciario</w:t>
      </w:r>
      <w:r w:rsidRPr="00CD7530">
        <w:rPr>
          <w:rFonts w:ascii="Arial" w:hAnsi="Arial" w:cs="Arial"/>
        </w:rPr>
        <w:t xml:space="preserve"> podrá a pedido expreso del F</w:t>
      </w:r>
      <w:r w:rsidR="00D311A0" w:rsidRPr="00CD7530">
        <w:rPr>
          <w:rFonts w:ascii="Arial" w:hAnsi="Arial" w:cs="Arial"/>
        </w:rPr>
        <w:t>ideicomitente</w:t>
      </w:r>
      <w:r w:rsidRPr="00CD7530">
        <w:rPr>
          <w:rFonts w:ascii="Arial" w:hAnsi="Arial" w:cs="Arial"/>
        </w:rPr>
        <w:t>, cancelar la totalidad de la emisión con dichos recursos de acuerdo con los términos dispuestos en el Prospecto de Inversión en relación con la posibilidad de pago anticipado.</w:t>
      </w:r>
    </w:p>
    <w:p w14:paraId="6976D716" w14:textId="0F2657B0" w:rsidR="00DF7A2F" w:rsidRDefault="00DF7A2F" w:rsidP="007D4FB2">
      <w:pPr>
        <w:spacing w:after="0" w:line="276" w:lineRule="auto"/>
        <w:ind w:left="426"/>
        <w:jc w:val="both"/>
        <w:rPr>
          <w:rFonts w:ascii="Arial" w:hAnsi="Arial" w:cs="Arial"/>
        </w:rPr>
      </w:pPr>
    </w:p>
    <w:p w14:paraId="6289DDC3" w14:textId="77777777" w:rsidR="00DF7A2F" w:rsidRPr="00CD7530" w:rsidRDefault="00DF7A2F" w:rsidP="007D4FB2">
      <w:pPr>
        <w:pStyle w:val="Prrafodelista"/>
        <w:numPr>
          <w:ilvl w:val="0"/>
          <w:numId w:val="12"/>
        </w:numPr>
        <w:tabs>
          <w:tab w:val="left" w:pos="284"/>
        </w:tabs>
        <w:spacing w:after="0" w:line="276" w:lineRule="auto"/>
        <w:ind w:left="284" w:hanging="284"/>
        <w:jc w:val="both"/>
        <w:rPr>
          <w:rFonts w:ascii="Arial" w:hAnsi="Arial" w:cs="Arial"/>
          <w:b/>
          <w:bCs/>
        </w:rPr>
      </w:pPr>
      <w:r w:rsidRPr="00CD7530">
        <w:rPr>
          <w:rFonts w:ascii="Arial" w:hAnsi="Arial" w:cs="Arial"/>
          <w:b/>
          <w:bCs/>
        </w:rPr>
        <w:t xml:space="preserve">Administración de los recursos por parte del Fiduciario: </w:t>
      </w:r>
      <w:r w:rsidRPr="00CD7530">
        <w:rPr>
          <w:rFonts w:ascii="Arial" w:hAnsi="Arial" w:cs="Arial"/>
        </w:rPr>
        <w:t xml:space="preserve">Las sumas de dinero recibidas o generadas por el </w:t>
      </w:r>
      <w:r>
        <w:rPr>
          <w:rFonts w:ascii="Arial" w:hAnsi="Arial" w:cs="Arial"/>
        </w:rPr>
        <w:t>c</w:t>
      </w:r>
      <w:r w:rsidRPr="00CD7530">
        <w:rPr>
          <w:rFonts w:ascii="Arial" w:hAnsi="Arial" w:cs="Arial"/>
        </w:rPr>
        <w:t>ontrato de Fideicomiso, que no sean utilizados en forma inmediata para el pago de los compromisos contratados, además de cualquier otro ingreso que genere el Contrato de Fideicomiso, serán destinados entre otros supuestos, al pago del principal e intereses de los títulos o valores emitidos, previa deducción de los gastos determinados según el orden de prelación de pagos acordados en dicho contrato.</w:t>
      </w:r>
    </w:p>
    <w:p w14:paraId="5E0D759A" w14:textId="77777777" w:rsidR="00DF7A2F" w:rsidRPr="00CD7530" w:rsidRDefault="00DF7A2F" w:rsidP="007D4FB2">
      <w:pPr>
        <w:spacing w:after="0" w:line="276" w:lineRule="auto"/>
        <w:jc w:val="both"/>
        <w:rPr>
          <w:rFonts w:ascii="Arial" w:hAnsi="Arial" w:cs="Arial"/>
        </w:rPr>
      </w:pPr>
    </w:p>
    <w:p w14:paraId="45658723" w14:textId="77777777" w:rsidR="00DF7A2F" w:rsidRPr="00FF0859" w:rsidRDefault="00DF7A2F" w:rsidP="007D4FB2">
      <w:pPr>
        <w:spacing w:after="0" w:line="276" w:lineRule="auto"/>
        <w:ind w:left="426"/>
        <w:jc w:val="both"/>
        <w:rPr>
          <w:rFonts w:ascii="Arial" w:hAnsi="Arial" w:cs="Arial"/>
          <w:szCs w:val="24"/>
        </w:rPr>
      </w:pPr>
      <w:r w:rsidRPr="00CD7530">
        <w:rPr>
          <w:rFonts w:ascii="Arial" w:hAnsi="Arial" w:cs="Arial"/>
        </w:rPr>
        <w:t>El Fiduciario según lo señalado en el punto anterior, deberá llevar siempre un registro contable detallado de los recursos administrados. Además, invertirá los recursos recibidos velando siempre por mantener la liquidez económica necesaria para realizar los pagos (amortizaciones) del principal y de los intereses a los tenedores de los valores emitidos y en circulación, según el calendario de pagos previamente establecido.</w:t>
      </w:r>
    </w:p>
    <w:p w14:paraId="4BC42BD5" w14:textId="77777777" w:rsidR="00353708" w:rsidRPr="00CD7530" w:rsidRDefault="00353708" w:rsidP="007D4FB2">
      <w:pPr>
        <w:spacing w:after="0" w:line="276" w:lineRule="auto"/>
        <w:ind w:left="426"/>
        <w:jc w:val="both"/>
        <w:rPr>
          <w:rFonts w:ascii="Arial" w:hAnsi="Arial" w:cs="Arial"/>
        </w:rPr>
      </w:pPr>
    </w:p>
    <w:p w14:paraId="6C072C75" w14:textId="77777777" w:rsidR="00DF7A2F" w:rsidRDefault="00353708" w:rsidP="007D4FB2">
      <w:pPr>
        <w:pStyle w:val="Prrafodelista"/>
        <w:numPr>
          <w:ilvl w:val="0"/>
          <w:numId w:val="12"/>
        </w:numPr>
        <w:tabs>
          <w:tab w:val="left" w:pos="284"/>
        </w:tabs>
        <w:spacing w:after="0" w:line="276" w:lineRule="auto"/>
        <w:ind w:left="284" w:hanging="284"/>
        <w:jc w:val="both"/>
        <w:rPr>
          <w:rFonts w:ascii="Arial" w:hAnsi="Arial" w:cs="Arial"/>
          <w:b/>
        </w:rPr>
      </w:pPr>
      <w:r w:rsidRPr="00353708">
        <w:rPr>
          <w:rFonts w:ascii="Arial" w:hAnsi="Arial" w:cs="Arial"/>
          <w:b/>
        </w:rPr>
        <w:t>Obligaciones del Fideicomitente:</w:t>
      </w:r>
    </w:p>
    <w:p w14:paraId="3CCEBE0D" w14:textId="0347940B" w:rsidR="006E2E39" w:rsidRPr="00353708" w:rsidRDefault="00353708" w:rsidP="007D4FB2">
      <w:pPr>
        <w:pStyle w:val="Prrafodelista"/>
        <w:tabs>
          <w:tab w:val="left" w:pos="426"/>
        </w:tabs>
        <w:spacing w:after="0" w:line="276" w:lineRule="auto"/>
        <w:ind w:left="426"/>
        <w:jc w:val="both"/>
        <w:rPr>
          <w:rFonts w:ascii="Arial" w:hAnsi="Arial" w:cs="Arial"/>
          <w:b/>
        </w:rPr>
      </w:pPr>
      <w:r w:rsidRPr="00353708">
        <w:rPr>
          <w:rFonts w:ascii="Arial" w:hAnsi="Arial" w:cs="Arial"/>
          <w:b/>
        </w:rPr>
        <w:t xml:space="preserve"> </w:t>
      </w:r>
    </w:p>
    <w:p w14:paraId="1DBAC73C" w14:textId="11185E37" w:rsidR="006E2E39" w:rsidRDefault="006E2E39" w:rsidP="007D4FB2">
      <w:pPr>
        <w:pStyle w:val="Prrafodelista"/>
        <w:numPr>
          <w:ilvl w:val="0"/>
          <w:numId w:val="4"/>
        </w:numPr>
        <w:spacing w:after="0" w:line="276" w:lineRule="auto"/>
        <w:ind w:left="644"/>
        <w:jc w:val="both"/>
        <w:rPr>
          <w:rFonts w:ascii="Arial" w:hAnsi="Arial" w:cs="Arial"/>
        </w:rPr>
      </w:pPr>
      <w:r w:rsidRPr="00CD7530">
        <w:rPr>
          <w:rFonts w:ascii="Arial" w:hAnsi="Arial" w:cs="Arial"/>
        </w:rPr>
        <w:t>Aportar en el momento que se establezca en el contrato de cesión, el monto de que se defina para constituir un fondo de mejorador de crédito, según se derive del diseño de las emisiones de valores provenientes del proceso de titularización respectivo.</w:t>
      </w:r>
    </w:p>
    <w:p w14:paraId="6EE31E0C" w14:textId="77777777" w:rsidR="00CD5259" w:rsidRDefault="00CD5259" w:rsidP="007D4FB2">
      <w:pPr>
        <w:pStyle w:val="Prrafodelista"/>
        <w:spacing w:after="0" w:line="276" w:lineRule="auto"/>
        <w:ind w:left="644"/>
        <w:jc w:val="both"/>
        <w:rPr>
          <w:rFonts w:ascii="Arial" w:hAnsi="Arial" w:cs="Arial"/>
        </w:rPr>
      </w:pPr>
    </w:p>
    <w:p w14:paraId="42D8F226" w14:textId="7AE728E2" w:rsidR="00CD5259" w:rsidRPr="00CD5259" w:rsidRDefault="00CD5259" w:rsidP="007D4FB2">
      <w:pPr>
        <w:pStyle w:val="Prrafodelista"/>
        <w:numPr>
          <w:ilvl w:val="0"/>
          <w:numId w:val="4"/>
        </w:numPr>
        <w:spacing w:after="0" w:line="276" w:lineRule="auto"/>
        <w:ind w:left="644"/>
        <w:jc w:val="both"/>
        <w:rPr>
          <w:rFonts w:ascii="Arial" w:hAnsi="Arial" w:cs="Arial"/>
        </w:rPr>
      </w:pPr>
      <w:r w:rsidRPr="00CD5259">
        <w:rPr>
          <w:rFonts w:ascii="Arial" w:hAnsi="Arial" w:cs="Arial"/>
        </w:rPr>
        <w:t>Suministrar a las autoridades reguladoras la información financiera relacionada al proceso de titularización, que sea necesaria y sustancial para el cumplimiento de los fines y objetivos del presente fideicomiso de acuerdo a las regulaciones establecidas, así como al Fiduciario toda aquella información legal, financiera o contable relacionada con el presente proceso de titularización que sea requerida para el éxito de este proceso y para mantener su registro en la SUGEVAL.</w:t>
      </w:r>
    </w:p>
    <w:p w14:paraId="64874381" w14:textId="343585C7" w:rsidR="00CD5259" w:rsidRDefault="00CD5259" w:rsidP="007D4FB2">
      <w:pPr>
        <w:spacing w:after="0" w:line="276" w:lineRule="auto"/>
        <w:jc w:val="both"/>
        <w:rPr>
          <w:rFonts w:ascii="Arial" w:hAnsi="Arial" w:cs="Arial"/>
        </w:rPr>
      </w:pPr>
    </w:p>
    <w:p w14:paraId="4B216478" w14:textId="6556D4F4" w:rsidR="00CD5259" w:rsidRDefault="00CD5259" w:rsidP="007D4FB2">
      <w:pPr>
        <w:pStyle w:val="Prrafodelista"/>
        <w:numPr>
          <w:ilvl w:val="0"/>
          <w:numId w:val="4"/>
        </w:numPr>
        <w:spacing w:after="0" w:line="276" w:lineRule="auto"/>
        <w:ind w:left="644"/>
        <w:jc w:val="both"/>
        <w:rPr>
          <w:rFonts w:ascii="Arial" w:hAnsi="Arial" w:cs="Arial"/>
        </w:rPr>
      </w:pPr>
      <w:r w:rsidRPr="00790811">
        <w:rPr>
          <w:rFonts w:ascii="Arial" w:hAnsi="Arial" w:cs="Arial"/>
        </w:rPr>
        <w:t>En los casos que así lo exija la normativa vigente, realizar junto con el Fiduciario, los trámites y diligencias necesarias para obtener la aprobación para la realización de oferta pública ante las autoridades reguladoras respectivas</w:t>
      </w:r>
      <w:r w:rsidR="00790811">
        <w:rPr>
          <w:rFonts w:ascii="Arial" w:hAnsi="Arial" w:cs="Arial"/>
        </w:rPr>
        <w:t>.</w:t>
      </w:r>
    </w:p>
    <w:p w14:paraId="4F3489AE" w14:textId="77777777" w:rsidR="00790811" w:rsidRPr="00790811" w:rsidRDefault="00790811" w:rsidP="007D4FB2">
      <w:pPr>
        <w:pStyle w:val="Prrafodelista"/>
        <w:spacing w:after="0" w:line="276" w:lineRule="auto"/>
        <w:ind w:left="644"/>
        <w:jc w:val="both"/>
        <w:rPr>
          <w:rFonts w:ascii="Arial" w:hAnsi="Arial" w:cs="Arial"/>
        </w:rPr>
      </w:pPr>
    </w:p>
    <w:p w14:paraId="5255C851" w14:textId="1D0B31CF" w:rsidR="00CD5259" w:rsidRDefault="00CD5259" w:rsidP="007D4FB2">
      <w:pPr>
        <w:pStyle w:val="Prrafodelista"/>
        <w:numPr>
          <w:ilvl w:val="0"/>
          <w:numId w:val="4"/>
        </w:numPr>
        <w:spacing w:after="0" w:line="276" w:lineRule="auto"/>
        <w:ind w:left="644"/>
        <w:jc w:val="both"/>
        <w:rPr>
          <w:rFonts w:ascii="Arial" w:hAnsi="Arial" w:cs="Arial"/>
        </w:rPr>
      </w:pPr>
      <w:r w:rsidRPr="00CD7530">
        <w:rPr>
          <w:rFonts w:ascii="Arial" w:hAnsi="Arial" w:cs="Arial"/>
        </w:rPr>
        <w:t>Proveer al F</w:t>
      </w:r>
      <w:r w:rsidR="00790811" w:rsidRPr="00CD7530">
        <w:rPr>
          <w:rFonts w:ascii="Arial" w:hAnsi="Arial" w:cs="Arial"/>
        </w:rPr>
        <w:t>iduciario</w:t>
      </w:r>
      <w:r w:rsidRPr="00CD7530">
        <w:rPr>
          <w:rFonts w:ascii="Arial" w:hAnsi="Arial" w:cs="Arial"/>
        </w:rPr>
        <w:t xml:space="preserve"> de la información de carácter financiero, legal, organizacional y técnica que éste requiera, relacionada al presente proceso de titularización, información que deberá ser clara, completa, precisa y veraz. La información que se </w:t>
      </w:r>
      <w:r w:rsidRPr="00CD7530">
        <w:rPr>
          <w:rFonts w:ascii="Arial" w:hAnsi="Arial" w:cs="Arial"/>
        </w:rPr>
        <w:lastRenderedPageBreak/>
        <w:t>suministre para estos efectos tendrá carácter público, en las condiciones que establece la normativa de SUGEVAL, o cualquier otro ente con facultades para emitir normativa relacionada por la oferta pública, colocación, negociación y custodia de valores.</w:t>
      </w:r>
    </w:p>
    <w:p w14:paraId="482E6D0A" w14:textId="77777777" w:rsidR="00790811" w:rsidRPr="00CD7530" w:rsidRDefault="00790811" w:rsidP="007D4FB2">
      <w:pPr>
        <w:pStyle w:val="Prrafodelista"/>
        <w:spacing w:after="0" w:line="276" w:lineRule="auto"/>
        <w:jc w:val="both"/>
        <w:rPr>
          <w:rFonts w:ascii="Arial" w:hAnsi="Arial" w:cs="Arial"/>
        </w:rPr>
      </w:pPr>
    </w:p>
    <w:p w14:paraId="78A61B49" w14:textId="4A02DA55" w:rsidR="00790811" w:rsidRPr="002B7EDC" w:rsidRDefault="00790811" w:rsidP="007D4FB2">
      <w:pPr>
        <w:pStyle w:val="Prrafodelista"/>
        <w:numPr>
          <w:ilvl w:val="0"/>
          <w:numId w:val="12"/>
        </w:numPr>
        <w:tabs>
          <w:tab w:val="left" w:pos="284"/>
        </w:tabs>
        <w:spacing w:after="0" w:line="276" w:lineRule="auto"/>
        <w:ind w:left="284" w:hanging="284"/>
        <w:jc w:val="both"/>
        <w:rPr>
          <w:rFonts w:ascii="Arial" w:hAnsi="Arial" w:cs="Arial"/>
          <w:b/>
          <w:bCs/>
        </w:rPr>
      </w:pPr>
      <w:r w:rsidRPr="00CD7530">
        <w:rPr>
          <w:rFonts w:ascii="Arial" w:hAnsi="Arial" w:cs="Arial"/>
          <w:b/>
          <w:bCs/>
        </w:rPr>
        <w:t xml:space="preserve">Límites de la responsabilidad del fideicomitente en relación a los </w:t>
      </w:r>
      <w:r>
        <w:rPr>
          <w:rFonts w:ascii="Arial" w:hAnsi="Arial" w:cs="Arial"/>
          <w:b/>
          <w:bCs/>
        </w:rPr>
        <w:t>inversionistas:</w:t>
      </w:r>
      <w:r w:rsidR="002B7EDC">
        <w:rPr>
          <w:rFonts w:ascii="Arial" w:hAnsi="Arial" w:cs="Arial"/>
          <w:b/>
          <w:bCs/>
        </w:rPr>
        <w:t xml:space="preserve"> </w:t>
      </w:r>
      <w:r w:rsidRPr="002B7EDC">
        <w:rPr>
          <w:rFonts w:ascii="Arial" w:hAnsi="Arial" w:cs="Arial"/>
        </w:rPr>
        <w:t>El Fideicomitente no será responsable frente a los inversionistas titulares de los valores en circulación o ante entidades financieras acreedoras, ante las siguientes situaciones:</w:t>
      </w:r>
    </w:p>
    <w:p w14:paraId="1771B576" w14:textId="77777777" w:rsidR="00790811" w:rsidRPr="00CD7530" w:rsidRDefault="00790811" w:rsidP="007D4FB2">
      <w:pPr>
        <w:spacing w:after="0" w:line="276" w:lineRule="auto"/>
        <w:ind w:left="284"/>
        <w:jc w:val="both"/>
        <w:rPr>
          <w:rFonts w:ascii="Arial" w:hAnsi="Arial" w:cs="Arial"/>
        </w:rPr>
      </w:pPr>
    </w:p>
    <w:p w14:paraId="004B1FC0" w14:textId="77777777" w:rsidR="00790811" w:rsidRPr="00CD7530" w:rsidRDefault="00790811" w:rsidP="007D4FB2">
      <w:pPr>
        <w:pStyle w:val="Prrafodelista"/>
        <w:numPr>
          <w:ilvl w:val="0"/>
          <w:numId w:val="7"/>
        </w:numPr>
        <w:spacing w:after="0" w:line="276" w:lineRule="auto"/>
        <w:ind w:left="644"/>
        <w:jc w:val="both"/>
        <w:rPr>
          <w:rFonts w:ascii="Arial" w:hAnsi="Arial" w:cs="Arial"/>
        </w:rPr>
      </w:pPr>
      <w:r w:rsidRPr="00CD7530">
        <w:rPr>
          <w:rFonts w:ascii="Arial" w:hAnsi="Arial" w:cs="Arial"/>
        </w:rPr>
        <w:t>Por el no pago del principal o intereses de los valores en que sean invertidos los fondos que le son trasladados en propiedad al Fiduciario.</w:t>
      </w:r>
    </w:p>
    <w:p w14:paraId="5D0DBED9" w14:textId="77777777" w:rsidR="00790811" w:rsidRPr="00CD7530" w:rsidRDefault="00790811" w:rsidP="007D4FB2">
      <w:pPr>
        <w:pStyle w:val="Prrafodelista"/>
        <w:spacing w:after="0" w:line="276" w:lineRule="auto"/>
        <w:ind w:left="644"/>
        <w:jc w:val="both"/>
        <w:rPr>
          <w:rFonts w:ascii="Arial" w:hAnsi="Arial" w:cs="Arial"/>
        </w:rPr>
      </w:pPr>
    </w:p>
    <w:p w14:paraId="735F6A37" w14:textId="77777777" w:rsidR="00790811" w:rsidRPr="00CD7530" w:rsidRDefault="00790811" w:rsidP="007D4FB2">
      <w:pPr>
        <w:pStyle w:val="Prrafodelista"/>
        <w:numPr>
          <w:ilvl w:val="0"/>
          <w:numId w:val="7"/>
        </w:numPr>
        <w:spacing w:after="0" w:line="276" w:lineRule="auto"/>
        <w:ind w:left="644"/>
        <w:jc w:val="both"/>
        <w:rPr>
          <w:rFonts w:ascii="Arial" w:hAnsi="Arial" w:cs="Arial"/>
        </w:rPr>
      </w:pPr>
      <w:r w:rsidRPr="00CD7530">
        <w:rPr>
          <w:rFonts w:ascii="Arial" w:hAnsi="Arial" w:cs="Arial"/>
        </w:rPr>
        <w:t>Por variaciones en los precios de los valores, cambios en las tasas de interés, cesación parcial o total de pagos del emisor, precios de los valores, administración y reorganización con intervención judicial, insolvencia y quiebra del emisor, intervención administrativa por parte de la SUGEF y cualquier otro hecho o situación que tenga que ver con los valores en que sean invertidos los fondos dados en fideicomiso.</w:t>
      </w:r>
    </w:p>
    <w:p w14:paraId="2E7AB0F9" w14:textId="77777777" w:rsidR="00790811" w:rsidRPr="00CD7530" w:rsidRDefault="00790811" w:rsidP="007D4FB2">
      <w:pPr>
        <w:pStyle w:val="Prrafodelista"/>
        <w:spacing w:after="0" w:line="276" w:lineRule="auto"/>
        <w:ind w:left="644"/>
        <w:jc w:val="both"/>
        <w:rPr>
          <w:rFonts w:ascii="Arial" w:hAnsi="Arial" w:cs="Arial"/>
        </w:rPr>
      </w:pPr>
    </w:p>
    <w:p w14:paraId="33E41700" w14:textId="77777777" w:rsidR="00790811" w:rsidRPr="00CD7530" w:rsidRDefault="00790811" w:rsidP="007D4FB2">
      <w:pPr>
        <w:pStyle w:val="Prrafodelista"/>
        <w:numPr>
          <w:ilvl w:val="0"/>
          <w:numId w:val="7"/>
        </w:numPr>
        <w:spacing w:after="0" w:line="276" w:lineRule="auto"/>
        <w:ind w:left="644"/>
        <w:jc w:val="both"/>
        <w:rPr>
          <w:rFonts w:ascii="Arial" w:hAnsi="Arial" w:cs="Arial"/>
        </w:rPr>
      </w:pPr>
      <w:r w:rsidRPr="00CD7530">
        <w:rPr>
          <w:rFonts w:ascii="Arial" w:hAnsi="Arial" w:cs="Arial"/>
        </w:rPr>
        <w:t>Por todas aquellas acciones u omisiones, negligentes o dolosas, que procedan de terceros que han asumido obligaciones en este Fideicomiso.</w:t>
      </w:r>
    </w:p>
    <w:p w14:paraId="50532CF9" w14:textId="77777777" w:rsidR="00790811" w:rsidRPr="00CD7530" w:rsidRDefault="00790811" w:rsidP="007D4FB2">
      <w:pPr>
        <w:pStyle w:val="Prrafodelista"/>
        <w:spacing w:after="0" w:line="276" w:lineRule="auto"/>
        <w:ind w:left="1004"/>
        <w:jc w:val="both"/>
        <w:rPr>
          <w:rFonts w:ascii="Arial" w:hAnsi="Arial" w:cs="Arial"/>
        </w:rPr>
      </w:pPr>
    </w:p>
    <w:p w14:paraId="518298A2" w14:textId="21F11B5C" w:rsidR="00790811" w:rsidRPr="00790811" w:rsidRDefault="00790811" w:rsidP="007D4FB2">
      <w:pPr>
        <w:spacing w:after="0" w:line="276" w:lineRule="auto"/>
        <w:ind w:left="284"/>
        <w:jc w:val="both"/>
        <w:rPr>
          <w:rFonts w:ascii="Arial" w:hAnsi="Arial" w:cs="Arial"/>
        </w:rPr>
      </w:pPr>
      <w:r w:rsidRPr="00CD7530">
        <w:rPr>
          <w:rFonts w:ascii="Arial" w:hAnsi="Arial" w:cs="Arial"/>
        </w:rPr>
        <w:t xml:space="preserve">Ante cualquier otro evento o situación que surja en razón de actitudes culposas o dolosas de funcionarios del FIDUCIARIO. </w:t>
      </w:r>
    </w:p>
    <w:p w14:paraId="7D83ECCA" w14:textId="27DD1AF4" w:rsidR="006E2E39" w:rsidRPr="00CD7530" w:rsidRDefault="006E2E39" w:rsidP="007D4FB2">
      <w:pPr>
        <w:spacing w:after="0" w:line="276" w:lineRule="auto"/>
        <w:jc w:val="both"/>
        <w:rPr>
          <w:rFonts w:ascii="Arial" w:hAnsi="Arial" w:cs="Arial"/>
        </w:rPr>
      </w:pPr>
    </w:p>
    <w:p w14:paraId="3977B766" w14:textId="470A9FA3" w:rsidR="00D8475E" w:rsidRPr="00CD5259" w:rsidRDefault="00D8475E" w:rsidP="007D4FB2">
      <w:pPr>
        <w:pStyle w:val="Prrafodelista"/>
        <w:numPr>
          <w:ilvl w:val="0"/>
          <w:numId w:val="12"/>
        </w:numPr>
        <w:tabs>
          <w:tab w:val="left" w:pos="284"/>
        </w:tabs>
        <w:spacing w:after="0" w:line="276" w:lineRule="auto"/>
        <w:ind w:left="284" w:hanging="284"/>
        <w:jc w:val="both"/>
        <w:rPr>
          <w:rFonts w:ascii="Arial" w:hAnsi="Arial" w:cs="Arial"/>
        </w:rPr>
      </w:pPr>
      <w:r w:rsidRPr="00CD5259">
        <w:rPr>
          <w:rFonts w:ascii="Arial" w:hAnsi="Arial" w:cs="Arial"/>
          <w:b/>
          <w:bCs/>
        </w:rPr>
        <w:t>De la insuficiencia de los flujos para el pago de principal e intereses de los valores de oferta pública</w:t>
      </w:r>
      <w:r w:rsidR="00CD5259" w:rsidRPr="00CD5259">
        <w:rPr>
          <w:rFonts w:ascii="Arial" w:hAnsi="Arial" w:cs="Arial"/>
          <w:b/>
          <w:bCs/>
        </w:rPr>
        <w:t xml:space="preserve">: </w:t>
      </w:r>
      <w:r w:rsidRPr="00CD5259">
        <w:rPr>
          <w:rFonts w:ascii="Arial" w:hAnsi="Arial" w:cs="Arial"/>
        </w:rPr>
        <w:t>En el supuesto de que los flujos que soportan el proceso de titularización, de conformidad con lo pactado en los Contratos de Cesión de flujos futuros, resultaren insuficientes para hacer frente al pago de las obligaciones derivadas de las emisiones de valores de oferta pública, el fiduciario deberá proceder de la siguiente manera:</w:t>
      </w:r>
    </w:p>
    <w:p w14:paraId="40C3A383" w14:textId="77777777" w:rsidR="00D8475E" w:rsidRPr="00CD7530" w:rsidRDefault="00D8475E" w:rsidP="007D4FB2">
      <w:pPr>
        <w:spacing w:after="0" w:line="276" w:lineRule="auto"/>
        <w:jc w:val="both"/>
        <w:rPr>
          <w:rFonts w:ascii="Arial" w:hAnsi="Arial" w:cs="Arial"/>
        </w:rPr>
      </w:pPr>
    </w:p>
    <w:p w14:paraId="2C64C22A" w14:textId="77777777" w:rsidR="00D8475E" w:rsidRPr="00CD7530" w:rsidRDefault="00D8475E" w:rsidP="007D4FB2">
      <w:pPr>
        <w:pStyle w:val="Prrafodelista"/>
        <w:numPr>
          <w:ilvl w:val="0"/>
          <w:numId w:val="6"/>
        </w:numPr>
        <w:spacing w:after="0" w:line="276" w:lineRule="auto"/>
        <w:ind w:left="577" w:hanging="283"/>
        <w:jc w:val="both"/>
        <w:rPr>
          <w:rFonts w:ascii="Arial" w:hAnsi="Arial" w:cs="Arial"/>
        </w:rPr>
      </w:pPr>
      <w:r w:rsidRPr="00CD7530">
        <w:rPr>
          <w:rFonts w:ascii="Arial" w:hAnsi="Arial" w:cs="Arial"/>
        </w:rPr>
        <w:t>El fiduciario continuará pagando todos los montos adeudados por concepto de intereses y gastos de los Bonos, mientras existan fondos suficientes en el Fondo de Mejorador de Crédito. En el caso de que el fideicomiso requiera un mayor grado de liquidez para hacer frente a sus obligaciones, el fiduciario podrá definir una estrategia para la liquidación y venta de títulos, bonos, acciones y además inversiones que se hayan realizado con los fondos de las cuentas del Fideicomiso, que sea necesario hacer líquidos para que el Fideicomiso continúe con el pago de sus obligaciones.</w:t>
      </w:r>
    </w:p>
    <w:p w14:paraId="30799C7A" w14:textId="77777777" w:rsidR="00D8475E" w:rsidRPr="00CD7530" w:rsidRDefault="00D8475E" w:rsidP="007D4FB2">
      <w:pPr>
        <w:pStyle w:val="Prrafodelista"/>
        <w:spacing w:after="0" w:line="276" w:lineRule="auto"/>
        <w:ind w:left="588"/>
        <w:jc w:val="both"/>
        <w:rPr>
          <w:rFonts w:ascii="Arial" w:hAnsi="Arial" w:cs="Arial"/>
        </w:rPr>
      </w:pPr>
    </w:p>
    <w:p w14:paraId="4474B848" w14:textId="77777777" w:rsidR="00D8475E" w:rsidRPr="00CD7530" w:rsidRDefault="00D8475E" w:rsidP="007D4FB2">
      <w:pPr>
        <w:pStyle w:val="Prrafodelista"/>
        <w:numPr>
          <w:ilvl w:val="0"/>
          <w:numId w:val="6"/>
        </w:numPr>
        <w:spacing w:after="0" w:line="276" w:lineRule="auto"/>
        <w:ind w:left="588"/>
        <w:jc w:val="both"/>
        <w:rPr>
          <w:rFonts w:ascii="Arial" w:hAnsi="Arial" w:cs="Arial"/>
        </w:rPr>
      </w:pPr>
      <w:r w:rsidRPr="00CD7530">
        <w:rPr>
          <w:rFonts w:ascii="Arial" w:hAnsi="Arial" w:cs="Arial"/>
        </w:rPr>
        <w:t xml:space="preserve">El Fiduciario notificará, en un plazo de cinco (5) días hábiles contados a partir de la determinación de insuficiencia de los flujos, al Fideicomitente sobre la situación y le otorgará un plazo de diez (10) días hábiles para que presente una propuesta para la aplicación o no de un plan remedial, entre los que podría estar la cesión de otros flujos o el aporte de los montos necesarios para hacer frente a las obligaciones pendientes del Fideicomiso, entre otros. </w:t>
      </w:r>
    </w:p>
    <w:p w14:paraId="4CCE7254" w14:textId="77777777" w:rsidR="00D8475E" w:rsidRPr="00CD7530" w:rsidRDefault="00D8475E" w:rsidP="007D4FB2">
      <w:pPr>
        <w:pStyle w:val="Prrafodelista"/>
        <w:spacing w:after="0" w:line="276" w:lineRule="auto"/>
        <w:ind w:left="588"/>
        <w:jc w:val="both"/>
        <w:rPr>
          <w:rFonts w:ascii="Arial" w:hAnsi="Arial" w:cs="Arial"/>
        </w:rPr>
      </w:pPr>
    </w:p>
    <w:p w14:paraId="2704E7FE" w14:textId="77777777" w:rsidR="00D8475E" w:rsidRPr="00CD7530" w:rsidRDefault="00D8475E" w:rsidP="007D4FB2">
      <w:pPr>
        <w:pStyle w:val="Prrafodelista"/>
        <w:numPr>
          <w:ilvl w:val="0"/>
          <w:numId w:val="6"/>
        </w:numPr>
        <w:spacing w:after="0" w:line="276" w:lineRule="auto"/>
        <w:ind w:left="588"/>
        <w:jc w:val="both"/>
        <w:rPr>
          <w:rFonts w:ascii="Arial" w:hAnsi="Arial" w:cs="Arial"/>
        </w:rPr>
      </w:pPr>
      <w:r w:rsidRPr="00CD7530">
        <w:rPr>
          <w:rFonts w:ascii="Arial" w:hAnsi="Arial" w:cs="Arial"/>
        </w:rPr>
        <w:t xml:space="preserve">Suministrada la respuesta por parte del Fideicomitente, el Fiduciario tendrá un plazo máximo de diez (10) días hábiles para decidir si aplica un plan remedial propuesto o si procede con la ejecución de los bienes en propiedad fiduciaria para el pago de las obligaciones del Fideicomiso. Para tomar la decisión respecto a la aplicación o no del plan remedial propuesto, el FIDUCIARIO deberá considerar el tiempo de aplicación del plan remedial respecto a los plazos para el pago de los gastos del Fideicomiso, los plazos de vencimiento de intereses y principal contenidos en los valores de oferta pública; así como si el plan remedial requiere de autorizaciones de instancias administrativas distintas al Fideicomitente que podrían retardar su proceso de implementación, así como otros aspectos que resulten relevantes en el caso particular. </w:t>
      </w:r>
    </w:p>
    <w:p w14:paraId="0244CF32" w14:textId="77777777" w:rsidR="00D8475E" w:rsidRPr="00CD7530" w:rsidRDefault="00D8475E" w:rsidP="007D4FB2">
      <w:pPr>
        <w:pStyle w:val="Prrafodelista"/>
        <w:spacing w:after="0" w:line="276" w:lineRule="auto"/>
        <w:ind w:left="588"/>
        <w:jc w:val="both"/>
        <w:rPr>
          <w:rFonts w:ascii="Arial" w:hAnsi="Arial" w:cs="Arial"/>
        </w:rPr>
      </w:pPr>
    </w:p>
    <w:p w14:paraId="24CD756D" w14:textId="77777777" w:rsidR="00D8475E" w:rsidRPr="00CD7530" w:rsidRDefault="00D8475E" w:rsidP="007D4FB2">
      <w:pPr>
        <w:pStyle w:val="Prrafodelista"/>
        <w:numPr>
          <w:ilvl w:val="0"/>
          <w:numId w:val="6"/>
        </w:numPr>
        <w:spacing w:after="0" w:line="276" w:lineRule="auto"/>
        <w:ind w:left="588"/>
        <w:jc w:val="both"/>
        <w:rPr>
          <w:rFonts w:ascii="Arial" w:hAnsi="Arial" w:cs="Arial"/>
        </w:rPr>
      </w:pPr>
      <w:r w:rsidRPr="00CD7530">
        <w:rPr>
          <w:rFonts w:ascii="Arial" w:hAnsi="Arial" w:cs="Arial"/>
        </w:rPr>
        <w:t>En cualquier caso, la decisión del FIDUCIARIO debe quedar plasmada en resolución motivada en el que consten las razones que fundamentan la decisión, dicha resolución debe ser notificada, únicamente para efectos informativos, al FIDEICOMITENTE de forma inmediata al vencimiento del plazo de diez (10) días antes indicados.</w:t>
      </w:r>
    </w:p>
    <w:p w14:paraId="791E9C48" w14:textId="77777777" w:rsidR="00D8475E" w:rsidRPr="00CD7530" w:rsidRDefault="00D8475E" w:rsidP="007D4FB2">
      <w:pPr>
        <w:pStyle w:val="Prrafodelista"/>
        <w:spacing w:after="0" w:line="276" w:lineRule="auto"/>
        <w:ind w:left="588"/>
        <w:jc w:val="both"/>
        <w:rPr>
          <w:rFonts w:ascii="Arial" w:hAnsi="Arial" w:cs="Arial"/>
        </w:rPr>
      </w:pPr>
    </w:p>
    <w:p w14:paraId="3B061B4A" w14:textId="14650A44" w:rsidR="00D8475E" w:rsidRPr="00DF7A2F" w:rsidRDefault="00D8475E" w:rsidP="007D4FB2">
      <w:pPr>
        <w:pStyle w:val="Prrafodelista"/>
        <w:numPr>
          <w:ilvl w:val="0"/>
          <w:numId w:val="6"/>
        </w:numPr>
        <w:spacing w:after="0" w:line="276" w:lineRule="auto"/>
        <w:ind w:left="588"/>
        <w:jc w:val="both"/>
        <w:rPr>
          <w:rFonts w:ascii="Arial" w:hAnsi="Arial" w:cs="Arial"/>
        </w:rPr>
      </w:pPr>
      <w:r w:rsidRPr="00DF7A2F">
        <w:rPr>
          <w:rFonts w:ascii="Arial" w:hAnsi="Arial" w:cs="Arial"/>
        </w:rPr>
        <w:t>En caso de que el Fideicomitente no proponga ningún plan remedial para la situación dentro del plazo conferido, el Fiduciario, procederá de forma inmediata con la ejecución de los bienes en propiedad fiduciaria de conformidad con el procedimiento que a continuación se detalla.</w:t>
      </w:r>
    </w:p>
    <w:p w14:paraId="685FB990" w14:textId="0DD3ADFC" w:rsidR="00D8475E" w:rsidRDefault="00D8475E" w:rsidP="00CD7530">
      <w:pPr>
        <w:spacing w:after="0" w:line="276" w:lineRule="auto"/>
        <w:jc w:val="both"/>
        <w:rPr>
          <w:rFonts w:ascii="Arial" w:hAnsi="Arial" w:cs="Arial"/>
        </w:rPr>
      </w:pPr>
    </w:p>
    <w:p w14:paraId="0CC64E14" w14:textId="2EAE0B37" w:rsidR="00CD5259" w:rsidRDefault="00CD5259" w:rsidP="00CD7530">
      <w:pPr>
        <w:spacing w:after="0" w:line="276" w:lineRule="auto"/>
        <w:jc w:val="both"/>
        <w:rPr>
          <w:rFonts w:ascii="Arial" w:hAnsi="Arial" w:cs="Arial"/>
        </w:rPr>
      </w:pPr>
    </w:p>
    <w:p w14:paraId="65F10E6D" w14:textId="77777777" w:rsidR="00CD5259" w:rsidRPr="00CD7530" w:rsidRDefault="00CD5259" w:rsidP="00CD7530">
      <w:pPr>
        <w:spacing w:after="0" w:line="276" w:lineRule="auto"/>
        <w:jc w:val="both"/>
        <w:rPr>
          <w:rFonts w:ascii="Arial" w:hAnsi="Arial" w:cs="Arial"/>
        </w:rPr>
      </w:pPr>
    </w:p>
    <w:p w14:paraId="48AF6F71" w14:textId="77777777" w:rsidR="00FF0859" w:rsidRPr="00CD7530" w:rsidRDefault="00FF0859" w:rsidP="00CD7530">
      <w:pPr>
        <w:pStyle w:val="Prrafodelista"/>
        <w:spacing w:after="0" w:line="276" w:lineRule="auto"/>
        <w:jc w:val="both"/>
        <w:rPr>
          <w:rFonts w:ascii="Arial" w:hAnsi="Arial" w:cs="Arial"/>
        </w:rPr>
      </w:pPr>
    </w:p>
    <w:p w14:paraId="2277E03E" w14:textId="41417AE3" w:rsidR="00FF0859" w:rsidRPr="00CD7530" w:rsidRDefault="00FF0859" w:rsidP="00CD7530">
      <w:pPr>
        <w:spacing w:after="0" w:line="276" w:lineRule="auto"/>
        <w:jc w:val="both"/>
        <w:rPr>
          <w:rFonts w:ascii="Arial" w:hAnsi="Arial" w:cs="Arial"/>
        </w:rPr>
      </w:pPr>
    </w:p>
    <w:p w14:paraId="448806E8" w14:textId="77777777" w:rsidR="006E2E39" w:rsidRDefault="006E2E39" w:rsidP="00CD7530">
      <w:pPr>
        <w:spacing w:after="0" w:line="276" w:lineRule="auto"/>
        <w:jc w:val="both"/>
      </w:pPr>
    </w:p>
    <w:sectPr w:rsidR="006E2E3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206BD" w14:textId="77777777" w:rsidR="00220BA5" w:rsidRDefault="00220BA5" w:rsidP="00CD7530">
      <w:pPr>
        <w:spacing w:after="0" w:line="240" w:lineRule="auto"/>
      </w:pPr>
      <w:r>
        <w:separator/>
      </w:r>
    </w:p>
  </w:endnote>
  <w:endnote w:type="continuationSeparator" w:id="0">
    <w:p w14:paraId="7111362A" w14:textId="77777777" w:rsidR="00220BA5" w:rsidRDefault="00220BA5" w:rsidP="00CD7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23D7B" w14:textId="77777777" w:rsidR="00CD7530" w:rsidRPr="005C5AD0" w:rsidRDefault="00CD7530" w:rsidP="00CD7530">
    <w:pPr>
      <w:tabs>
        <w:tab w:val="center" w:pos="4419"/>
        <w:tab w:val="right" w:pos="8838"/>
      </w:tabs>
      <w:spacing w:after="0"/>
      <w:jc w:val="center"/>
      <w:rPr>
        <w:rFonts w:ascii="Arial" w:hAnsi="Arial" w:cs="Arial"/>
        <w:bCs/>
        <w:sz w:val="18"/>
        <w:szCs w:val="18"/>
      </w:rPr>
    </w:pPr>
    <w:r w:rsidRPr="005C5AD0">
      <w:rPr>
        <w:rFonts w:ascii="Arial" w:hAnsi="Arial" w:cs="Arial"/>
        <w:bCs/>
        <w:sz w:val="18"/>
        <w:szCs w:val="18"/>
      </w:rPr>
      <w:t>15</w:t>
    </w:r>
    <w:r>
      <w:rPr>
        <w:rFonts w:ascii="Arial" w:hAnsi="Arial" w:cs="Arial"/>
        <w:bCs/>
        <w:sz w:val="18"/>
        <w:szCs w:val="18"/>
      </w:rPr>
      <w:t>7</w:t>
    </w:r>
    <w:r w:rsidRPr="005C5AD0">
      <w:rPr>
        <w:rFonts w:ascii="Arial" w:hAnsi="Arial" w:cs="Arial"/>
        <w:bCs/>
        <w:sz w:val="18"/>
        <w:szCs w:val="18"/>
      </w:rPr>
      <w:t xml:space="preserve"> AÑOS SIN BAJAR LA GUARDIA </w:t>
    </w:r>
    <w:r w:rsidRPr="005C5AD0">
      <w:rPr>
        <w:rFonts w:ascii="Arial" w:hAnsi="Arial" w:cs="Arial"/>
        <w:bCs/>
        <w:sz w:val="18"/>
        <w:szCs w:val="18"/>
      </w:rPr>
      <w:br/>
      <w:t>www.bomberos.go.cr - Teléfono 2547-3700</w:t>
    </w:r>
  </w:p>
  <w:p w14:paraId="433D9F9B" w14:textId="2D9F4846" w:rsidR="00CD7530" w:rsidRPr="000D6E81" w:rsidRDefault="00CD7530" w:rsidP="00CD7530">
    <w:pPr>
      <w:pStyle w:val="Piedepgina"/>
      <w:jc w:val="right"/>
      <w:rPr>
        <w:sz w:val="18"/>
        <w:szCs w:val="18"/>
      </w:rPr>
    </w:pPr>
    <w:r w:rsidRPr="000D6E81">
      <w:rPr>
        <w:rFonts w:ascii="Arial" w:hAnsi="Arial" w:cs="Arial"/>
        <w:sz w:val="18"/>
        <w:szCs w:val="18"/>
        <w:lang w:val="es-ES_tradnl"/>
      </w:rPr>
      <w:t xml:space="preserve">Página </w:t>
    </w:r>
    <w:r w:rsidRPr="000D6E81">
      <w:rPr>
        <w:rFonts w:ascii="Arial" w:hAnsi="Arial" w:cs="Arial"/>
        <w:b/>
        <w:sz w:val="18"/>
        <w:szCs w:val="18"/>
        <w:lang w:val="es-ES_tradnl"/>
      </w:rPr>
      <w:fldChar w:fldCharType="begin"/>
    </w:r>
    <w:r w:rsidRPr="000D6E81">
      <w:rPr>
        <w:rFonts w:ascii="Arial" w:hAnsi="Arial" w:cs="Arial"/>
        <w:sz w:val="18"/>
        <w:szCs w:val="18"/>
        <w:lang w:val="es-ES_tradnl"/>
      </w:rPr>
      <w:instrText xml:space="preserve"> PAGE </w:instrText>
    </w:r>
    <w:r w:rsidRPr="000D6E81">
      <w:rPr>
        <w:rFonts w:ascii="Arial" w:hAnsi="Arial" w:cs="Arial"/>
        <w:b/>
        <w:sz w:val="18"/>
        <w:szCs w:val="18"/>
        <w:lang w:val="es-ES_tradnl"/>
      </w:rPr>
      <w:fldChar w:fldCharType="separate"/>
    </w:r>
    <w:r w:rsidR="002B3BC3">
      <w:rPr>
        <w:rFonts w:ascii="Arial" w:hAnsi="Arial" w:cs="Arial"/>
        <w:noProof/>
        <w:sz w:val="18"/>
        <w:szCs w:val="18"/>
        <w:lang w:val="es-ES_tradnl"/>
      </w:rPr>
      <w:t>2</w:t>
    </w:r>
    <w:r w:rsidRPr="000D6E81">
      <w:rPr>
        <w:rFonts w:ascii="Arial" w:hAnsi="Arial" w:cs="Arial"/>
        <w:b/>
        <w:sz w:val="18"/>
        <w:szCs w:val="18"/>
        <w:lang w:val="es-ES_tradnl"/>
      </w:rPr>
      <w:fldChar w:fldCharType="end"/>
    </w:r>
    <w:r w:rsidRPr="000D6E81">
      <w:rPr>
        <w:rFonts w:ascii="Arial" w:hAnsi="Arial" w:cs="Arial"/>
        <w:sz w:val="18"/>
        <w:szCs w:val="18"/>
        <w:lang w:val="es-ES_tradnl"/>
      </w:rPr>
      <w:t xml:space="preserve"> de </w:t>
    </w:r>
    <w:r w:rsidRPr="000D6E81">
      <w:rPr>
        <w:rFonts w:ascii="Arial" w:hAnsi="Arial" w:cs="Arial"/>
        <w:b/>
        <w:sz w:val="18"/>
        <w:szCs w:val="18"/>
        <w:lang w:val="es-ES_tradnl"/>
      </w:rPr>
      <w:fldChar w:fldCharType="begin"/>
    </w:r>
    <w:r w:rsidRPr="000D6E81">
      <w:rPr>
        <w:rFonts w:ascii="Arial" w:hAnsi="Arial" w:cs="Arial"/>
        <w:sz w:val="18"/>
        <w:szCs w:val="18"/>
        <w:lang w:val="es-ES_tradnl"/>
      </w:rPr>
      <w:instrText xml:space="preserve"> NUMPAGES </w:instrText>
    </w:r>
    <w:r w:rsidRPr="000D6E81">
      <w:rPr>
        <w:rFonts w:ascii="Arial" w:hAnsi="Arial" w:cs="Arial"/>
        <w:b/>
        <w:sz w:val="18"/>
        <w:szCs w:val="18"/>
        <w:lang w:val="es-ES_tradnl"/>
      </w:rPr>
      <w:fldChar w:fldCharType="separate"/>
    </w:r>
    <w:r w:rsidR="002B3BC3">
      <w:rPr>
        <w:rFonts w:ascii="Arial" w:hAnsi="Arial" w:cs="Arial"/>
        <w:noProof/>
        <w:sz w:val="18"/>
        <w:szCs w:val="18"/>
        <w:lang w:val="es-ES_tradnl"/>
      </w:rPr>
      <w:t>9</w:t>
    </w:r>
    <w:r w:rsidRPr="000D6E81">
      <w:rPr>
        <w:rFonts w:ascii="Arial" w:hAnsi="Arial" w:cs="Arial"/>
        <w:b/>
        <w:sz w:val="18"/>
        <w:szCs w:val="18"/>
        <w:lang w:val="es-ES_trad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0240" w14:textId="77777777" w:rsidR="00220BA5" w:rsidRDefault="00220BA5" w:rsidP="00CD7530">
      <w:pPr>
        <w:spacing w:after="0" w:line="240" w:lineRule="auto"/>
      </w:pPr>
      <w:r>
        <w:separator/>
      </w:r>
    </w:p>
  </w:footnote>
  <w:footnote w:type="continuationSeparator" w:id="0">
    <w:p w14:paraId="73D65F9C" w14:textId="77777777" w:rsidR="00220BA5" w:rsidRDefault="00220BA5" w:rsidP="00CD75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9D981" w14:textId="77777777" w:rsidR="00CD7530" w:rsidRDefault="00CD7530" w:rsidP="00CD7530">
    <w:pPr>
      <w:pStyle w:val="Encabezado"/>
      <w:jc w:val="center"/>
      <w:rPr>
        <w:noProof/>
        <w:sz w:val="24"/>
        <w:szCs w:val="24"/>
        <w:lang w:eastAsia="es-CR"/>
      </w:rPr>
    </w:pPr>
    <w:r>
      <w:rPr>
        <w:noProof/>
        <w:lang w:eastAsia="es-CR"/>
      </w:rPr>
      <w:drawing>
        <wp:inline distT="0" distB="0" distL="0" distR="0" wp14:anchorId="3807E151" wp14:editId="215BB7DF">
          <wp:extent cx="1097280" cy="1013460"/>
          <wp:effectExtent l="0" t="0" r="762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013460"/>
                  </a:xfrm>
                  <a:prstGeom prst="rect">
                    <a:avLst/>
                  </a:prstGeom>
                  <a:noFill/>
                  <a:ln>
                    <a:noFill/>
                  </a:ln>
                </pic:spPr>
              </pic:pic>
            </a:graphicData>
          </a:graphic>
        </wp:inline>
      </w:drawing>
    </w:r>
  </w:p>
  <w:p w14:paraId="5E6A0D37" w14:textId="77777777" w:rsidR="00CD7530" w:rsidRPr="006F1F87" w:rsidRDefault="00CD7530" w:rsidP="00CD7530">
    <w:pPr>
      <w:pStyle w:val="Encabezado"/>
      <w:jc w:val="center"/>
      <w:rPr>
        <w:rFonts w:ascii="Arial" w:hAnsi="Arial"/>
      </w:rPr>
    </w:pPr>
    <w:r w:rsidRPr="006F1F87">
      <w:rPr>
        <w:rFonts w:ascii="Arial" w:hAnsi="Arial"/>
      </w:rPr>
      <w:t>Benemérito Cuerpo de Bomberos de Costa Rica</w:t>
    </w:r>
  </w:p>
  <w:p w14:paraId="2589F1A4" w14:textId="77777777" w:rsidR="00CD7530" w:rsidRPr="006F1F87" w:rsidRDefault="00CD7530" w:rsidP="00CD7530">
    <w:pPr>
      <w:pStyle w:val="Encabezado"/>
      <w:pBdr>
        <w:bottom w:val="single" w:sz="6" w:space="1" w:color="auto"/>
      </w:pBdr>
      <w:jc w:val="center"/>
      <w:rPr>
        <w:rFonts w:ascii="Arial" w:hAnsi="Arial"/>
        <w:noProof/>
      </w:rPr>
    </w:pPr>
    <w:r w:rsidRPr="006F1F87">
      <w:rPr>
        <w:rFonts w:ascii="Arial" w:hAnsi="Arial"/>
        <w:noProof/>
      </w:rPr>
      <w:t>Unidad de Proveeduría</w:t>
    </w:r>
  </w:p>
  <w:p w14:paraId="226F51A8" w14:textId="77777777" w:rsidR="00CD7530" w:rsidRDefault="00CD75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3122"/>
    <w:multiLevelType w:val="hybridMultilevel"/>
    <w:tmpl w:val="E02A448C"/>
    <w:lvl w:ilvl="0" w:tplc="04090017">
      <w:start w:val="1"/>
      <w:numFmt w:val="lowerLetter"/>
      <w:lvlText w:val="%1)"/>
      <w:lvlJc w:val="left"/>
      <w:pPr>
        <w:ind w:left="863" w:hanging="360"/>
      </w:p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 w15:restartNumberingAfterBreak="0">
    <w:nsid w:val="1EF848B8"/>
    <w:multiLevelType w:val="hybridMultilevel"/>
    <w:tmpl w:val="1FC2AF4E"/>
    <w:lvl w:ilvl="0" w:tplc="140A0017">
      <w:start w:val="1"/>
      <w:numFmt w:val="lowerLetter"/>
      <w:lvlText w:val="%1)"/>
      <w:lvlJc w:val="left"/>
      <w:pPr>
        <w:ind w:left="720" w:hanging="360"/>
      </w:pPr>
    </w:lvl>
    <w:lvl w:ilvl="1" w:tplc="140A0017">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3471FA6"/>
    <w:multiLevelType w:val="hybridMultilevel"/>
    <w:tmpl w:val="187EEAE6"/>
    <w:lvl w:ilvl="0" w:tplc="140A0017">
      <w:start w:val="1"/>
      <w:numFmt w:val="lowerLetter"/>
      <w:lvlText w:val="%1)"/>
      <w:lvlJc w:val="left"/>
      <w:pPr>
        <w:ind w:left="720" w:hanging="360"/>
      </w:pPr>
      <w:rPr>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81673"/>
    <w:multiLevelType w:val="hybridMultilevel"/>
    <w:tmpl w:val="5FD87CCC"/>
    <w:lvl w:ilvl="0" w:tplc="38241160">
      <w:start w:val="1"/>
      <w:numFmt w:val="decimal"/>
      <w:lvlText w:val="%1."/>
      <w:lvlJc w:val="left"/>
      <w:pPr>
        <w:ind w:left="720" w:hanging="360"/>
      </w:pPr>
      <w:rPr>
        <w:b w:val="0"/>
        <w:sz w:val="22"/>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33C37F0A"/>
    <w:multiLevelType w:val="hybridMultilevel"/>
    <w:tmpl w:val="49D2590A"/>
    <w:lvl w:ilvl="0" w:tplc="2312E3C6">
      <w:start w:val="1"/>
      <w:numFmt w:val="upperRoman"/>
      <w:lvlText w:val="%1."/>
      <w:lvlJc w:val="left"/>
      <w:pPr>
        <w:ind w:left="1080" w:hanging="720"/>
      </w:pPr>
      <w:rPr>
        <w:rFonts w:hint="default"/>
        <w:b/>
      </w:rPr>
    </w:lvl>
    <w:lvl w:ilvl="1" w:tplc="140A0015">
      <w:start w:val="1"/>
      <w:numFmt w:val="upperLetter"/>
      <w:lvlText w:val="%2."/>
      <w:lvlJc w:val="left"/>
      <w:pPr>
        <w:ind w:left="502" w:hanging="360"/>
      </w:pPr>
      <w:rPr>
        <w:b/>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36F170DA"/>
    <w:multiLevelType w:val="hybridMultilevel"/>
    <w:tmpl w:val="187EEAE6"/>
    <w:lvl w:ilvl="0" w:tplc="140A0017">
      <w:start w:val="1"/>
      <w:numFmt w:val="lowerLetter"/>
      <w:lvlText w:val="%1)"/>
      <w:lvlJc w:val="left"/>
      <w:pPr>
        <w:ind w:left="720" w:hanging="360"/>
      </w:pPr>
      <w:rPr>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4267B"/>
    <w:multiLevelType w:val="hybridMultilevel"/>
    <w:tmpl w:val="970C469A"/>
    <w:lvl w:ilvl="0" w:tplc="D79E518E">
      <w:start w:val="1"/>
      <w:numFmt w:val="upperLetter"/>
      <w:lvlText w:val="%1."/>
      <w:lvlJc w:val="left"/>
      <w:pPr>
        <w:ind w:left="720" w:hanging="360"/>
      </w:pPr>
      <w:rPr>
        <w:b/>
      </w:rPr>
    </w:lvl>
    <w:lvl w:ilvl="1" w:tplc="CB2CD098">
      <w:start w:val="1"/>
      <w:numFmt w:val="lowerLetter"/>
      <w:lvlText w:val="%2)"/>
      <w:lvlJc w:val="left"/>
      <w:pPr>
        <w:ind w:left="1785" w:hanging="705"/>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02A59FC"/>
    <w:multiLevelType w:val="hybridMultilevel"/>
    <w:tmpl w:val="DF704B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A92B81"/>
    <w:multiLevelType w:val="hybridMultilevel"/>
    <w:tmpl w:val="210E6E5E"/>
    <w:lvl w:ilvl="0" w:tplc="140A0017">
      <w:start w:val="1"/>
      <w:numFmt w:val="lowerLetter"/>
      <w:lvlText w:val="%1)"/>
      <w:lvlJc w:val="left"/>
      <w:pPr>
        <w:ind w:left="1002" w:hanging="360"/>
      </w:pPr>
    </w:lvl>
    <w:lvl w:ilvl="1" w:tplc="140A0017">
      <w:start w:val="1"/>
      <w:numFmt w:val="lowerLetter"/>
      <w:lvlText w:val="%2)"/>
      <w:lvlJc w:val="left"/>
      <w:pPr>
        <w:ind w:left="1722" w:hanging="360"/>
      </w:pPr>
    </w:lvl>
    <w:lvl w:ilvl="2" w:tplc="140A001B" w:tentative="1">
      <w:start w:val="1"/>
      <w:numFmt w:val="lowerRoman"/>
      <w:lvlText w:val="%3."/>
      <w:lvlJc w:val="right"/>
      <w:pPr>
        <w:ind w:left="2442" w:hanging="180"/>
      </w:pPr>
    </w:lvl>
    <w:lvl w:ilvl="3" w:tplc="140A000F" w:tentative="1">
      <w:start w:val="1"/>
      <w:numFmt w:val="decimal"/>
      <w:lvlText w:val="%4."/>
      <w:lvlJc w:val="left"/>
      <w:pPr>
        <w:ind w:left="3162" w:hanging="360"/>
      </w:pPr>
    </w:lvl>
    <w:lvl w:ilvl="4" w:tplc="140A0019" w:tentative="1">
      <w:start w:val="1"/>
      <w:numFmt w:val="lowerLetter"/>
      <w:lvlText w:val="%5."/>
      <w:lvlJc w:val="left"/>
      <w:pPr>
        <w:ind w:left="3882" w:hanging="360"/>
      </w:pPr>
    </w:lvl>
    <w:lvl w:ilvl="5" w:tplc="140A001B" w:tentative="1">
      <w:start w:val="1"/>
      <w:numFmt w:val="lowerRoman"/>
      <w:lvlText w:val="%6."/>
      <w:lvlJc w:val="right"/>
      <w:pPr>
        <w:ind w:left="4602" w:hanging="180"/>
      </w:pPr>
    </w:lvl>
    <w:lvl w:ilvl="6" w:tplc="140A000F" w:tentative="1">
      <w:start w:val="1"/>
      <w:numFmt w:val="decimal"/>
      <w:lvlText w:val="%7."/>
      <w:lvlJc w:val="left"/>
      <w:pPr>
        <w:ind w:left="5322" w:hanging="360"/>
      </w:pPr>
    </w:lvl>
    <w:lvl w:ilvl="7" w:tplc="140A0019" w:tentative="1">
      <w:start w:val="1"/>
      <w:numFmt w:val="lowerLetter"/>
      <w:lvlText w:val="%8."/>
      <w:lvlJc w:val="left"/>
      <w:pPr>
        <w:ind w:left="6042" w:hanging="360"/>
      </w:pPr>
    </w:lvl>
    <w:lvl w:ilvl="8" w:tplc="140A001B" w:tentative="1">
      <w:start w:val="1"/>
      <w:numFmt w:val="lowerRoman"/>
      <w:lvlText w:val="%9."/>
      <w:lvlJc w:val="right"/>
      <w:pPr>
        <w:ind w:left="6762" w:hanging="180"/>
      </w:pPr>
    </w:lvl>
  </w:abstractNum>
  <w:abstractNum w:abstractNumId="9" w15:restartNumberingAfterBreak="0">
    <w:nsid w:val="45DF4E27"/>
    <w:multiLevelType w:val="hybridMultilevel"/>
    <w:tmpl w:val="DA8A5B94"/>
    <w:lvl w:ilvl="0" w:tplc="140A001B">
      <w:start w:val="1"/>
      <w:numFmt w:val="lowerRoman"/>
      <w:lvlText w:val="%1."/>
      <w:lvlJc w:val="right"/>
      <w:pPr>
        <w:ind w:left="1428" w:hanging="360"/>
      </w:pPr>
    </w:lvl>
    <w:lvl w:ilvl="1" w:tplc="140A0019" w:tentative="1">
      <w:start w:val="1"/>
      <w:numFmt w:val="lowerLetter"/>
      <w:lvlText w:val="%2."/>
      <w:lvlJc w:val="left"/>
      <w:pPr>
        <w:ind w:left="2148" w:hanging="360"/>
      </w:pPr>
    </w:lvl>
    <w:lvl w:ilvl="2" w:tplc="140A001B" w:tentative="1">
      <w:start w:val="1"/>
      <w:numFmt w:val="lowerRoman"/>
      <w:lvlText w:val="%3."/>
      <w:lvlJc w:val="right"/>
      <w:pPr>
        <w:ind w:left="2868" w:hanging="180"/>
      </w:pPr>
    </w:lvl>
    <w:lvl w:ilvl="3" w:tplc="140A000F" w:tentative="1">
      <w:start w:val="1"/>
      <w:numFmt w:val="decimal"/>
      <w:lvlText w:val="%4."/>
      <w:lvlJc w:val="left"/>
      <w:pPr>
        <w:ind w:left="3588" w:hanging="360"/>
      </w:pPr>
    </w:lvl>
    <w:lvl w:ilvl="4" w:tplc="140A0019" w:tentative="1">
      <w:start w:val="1"/>
      <w:numFmt w:val="lowerLetter"/>
      <w:lvlText w:val="%5."/>
      <w:lvlJc w:val="left"/>
      <w:pPr>
        <w:ind w:left="4308" w:hanging="360"/>
      </w:pPr>
    </w:lvl>
    <w:lvl w:ilvl="5" w:tplc="140A001B" w:tentative="1">
      <w:start w:val="1"/>
      <w:numFmt w:val="lowerRoman"/>
      <w:lvlText w:val="%6."/>
      <w:lvlJc w:val="right"/>
      <w:pPr>
        <w:ind w:left="5028" w:hanging="180"/>
      </w:pPr>
    </w:lvl>
    <w:lvl w:ilvl="6" w:tplc="140A000F" w:tentative="1">
      <w:start w:val="1"/>
      <w:numFmt w:val="decimal"/>
      <w:lvlText w:val="%7."/>
      <w:lvlJc w:val="left"/>
      <w:pPr>
        <w:ind w:left="5748" w:hanging="360"/>
      </w:pPr>
    </w:lvl>
    <w:lvl w:ilvl="7" w:tplc="140A0019" w:tentative="1">
      <w:start w:val="1"/>
      <w:numFmt w:val="lowerLetter"/>
      <w:lvlText w:val="%8."/>
      <w:lvlJc w:val="left"/>
      <w:pPr>
        <w:ind w:left="6468" w:hanging="360"/>
      </w:pPr>
    </w:lvl>
    <w:lvl w:ilvl="8" w:tplc="140A001B" w:tentative="1">
      <w:start w:val="1"/>
      <w:numFmt w:val="lowerRoman"/>
      <w:lvlText w:val="%9."/>
      <w:lvlJc w:val="right"/>
      <w:pPr>
        <w:ind w:left="7188" w:hanging="180"/>
      </w:pPr>
    </w:lvl>
  </w:abstractNum>
  <w:abstractNum w:abstractNumId="10" w15:restartNumberingAfterBreak="0">
    <w:nsid w:val="4A22378B"/>
    <w:multiLevelType w:val="hybridMultilevel"/>
    <w:tmpl w:val="232A6136"/>
    <w:lvl w:ilvl="0" w:tplc="140A0017">
      <w:start w:val="1"/>
      <w:numFmt w:val="lowerLetter"/>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11" w15:restartNumberingAfterBreak="0">
    <w:nsid w:val="4B647622"/>
    <w:multiLevelType w:val="hybridMultilevel"/>
    <w:tmpl w:val="AA7845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C0646A"/>
    <w:multiLevelType w:val="hybridMultilevel"/>
    <w:tmpl w:val="065C5854"/>
    <w:lvl w:ilvl="0" w:tplc="140A0013">
      <w:start w:val="1"/>
      <w:numFmt w:val="upperRoman"/>
      <w:lvlText w:val="%1."/>
      <w:lvlJc w:val="righ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3" w15:restartNumberingAfterBreak="0">
    <w:nsid w:val="5F6A3346"/>
    <w:multiLevelType w:val="hybridMultilevel"/>
    <w:tmpl w:val="8D068F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22DC1"/>
    <w:multiLevelType w:val="hybridMultilevel"/>
    <w:tmpl w:val="EA1CCB94"/>
    <w:lvl w:ilvl="0" w:tplc="1BFA8D86">
      <w:start w:val="1"/>
      <w:numFmt w:val="upperLetter"/>
      <w:lvlText w:val="%1."/>
      <w:lvlJc w:val="left"/>
      <w:pPr>
        <w:ind w:left="1065" w:hanging="705"/>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75F34719"/>
    <w:multiLevelType w:val="hybridMultilevel"/>
    <w:tmpl w:val="E02A448C"/>
    <w:lvl w:ilvl="0" w:tplc="04090017">
      <w:start w:val="1"/>
      <w:numFmt w:val="lowerLetter"/>
      <w:lvlText w:val="%1)"/>
      <w:lvlJc w:val="left"/>
      <w:pPr>
        <w:ind w:left="863" w:hanging="360"/>
      </w:p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6" w15:restartNumberingAfterBreak="0">
    <w:nsid w:val="7C76091E"/>
    <w:multiLevelType w:val="hybridMultilevel"/>
    <w:tmpl w:val="CEBA67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82E2C"/>
    <w:multiLevelType w:val="hybridMultilevel"/>
    <w:tmpl w:val="2B76AAE4"/>
    <w:lvl w:ilvl="0" w:tplc="140A0001">
      <w:start w:val="1"/>
      <w:numFmt w:val="bullet"/>
      <w:lvlText w:val=""/>
      <w:lvlJc w:val="left"/>
      <w:pPr>
        <w:ind w:left="1211" w:hanging="360"/>
      </w:pPr>
      <w:rPr>
        <w:rFonts w:ascii="Symbol" w:hAnsi="Symbol" w:hint="default"/>
      </w:rPr>
    </w:lvl>
    <w:lvl w:ilvl="1" w:tplc="140A0003" w:tentative="1">
      <w:start w:val="1"/>
      <w:numFmt w:val="bullet"/>
      <w:lvlText w:val="o"/>
      <w:lvlJc w:val="left"/>
      <w:pPr>
        <w:ind w:left="1931" w:hanging="360"/>
      </w:pPr>
      <w:rPr>
        <w:rFonts w:ascii="Courier New" w:hAnsi="Courier New" w:cs="Courier New" w:hint="default"/>
      </w:rPr>
    </w:lvl>
    <w:lvl w:ilvl="2" w:tplc="140A0005" w:tentative="1">
      <w:start w:val="1"/>
      <w:numFmt w:val="bullet"/>
      <w:lvlText w:val=""/>
      <w:lvlJc w:val="left"/>
      <w:pPr>
        <w:ind w:left="2651" w:hanging="360"/>
      </w:pPr>
      <w:rPr>
        <w:rFonts w:ascii="Wingdings" w:hAnsi="Wingdings" w:hint="default"/>
      </w:rPr>
    </w:lvl>
    <w:lvl w:ilvl="3" w:tplc="140A0001" w:tentative="1">
      <w:start w:val="1"/>
      <w:numFmt w:val="bullet"/>
      <w:lvlText w:val=""/>
      <w:lvlJc w:val="left"/>
      <w:pPr>
        <w:ind w:left="3371" w:hanging="360"/>
      </w:pPr>
      <w:rPr>
        <w:rFonts w:ascii="Symbol" w:hAnsi="Symbol" w:hint="default"/>
      </w:rPr>
    </w:lvl>
    <w:lvl w:ilvl="4" w:tplc="140A0003" w:tentative="1">
      <w:start w:val="1"/>
      <w:numFmt w:val="bullet"/>
      <w:lvlText w:val="o"/>
      <w:lvlJc w:val="left"/>
      <w:pPr>
        <w:ind w:left="4091" w:hanging="360"/>
      </w:pPr>
      <w:rPr>
        <w:rFonts w:ascii="Courier New" w:hAnsi="Courier New" w:cs="Courier New" w:hint="default"/>
      </w:rPr>
    </w:lvl>
    <w:lvl w:ilvl="5" w:tplc="140A0005" w:tentative="1">
      <w:start w:val="1"/>
      <w:numFmt w:val="bullet"/>
      <w:lvlText w:val=""/>
      <w:lvlJc w:val="left"/>
      <w:pPr>
        <w:ind w:left="4811" w:hanging="360"/>
      </w:pPr>
      <w:rPr>
        <w:rFonts w:ascii="Wingdings" w:hAnsi="Wingdings" w:hint="default"/>
      </w:rPr>
    </w:lvl>
    <w:lvl w:ilvl="6" w:tplc="140A0001" w:tentative="1">
      <w:start w:val="1"/>
      <w:numFmt w:val="bullet"/>
      <w:lvlText w:val=""/>
      <w:lvlJc w:val="left"/>
      <w:pPr>
        <w:ind w:left="5531" w:hanging="360"/>
      </w:pPr>
      <w:rPr>
        <w:rFonts w:ascii="Symbol" w:hAnsi="Symbol" w:hint="default"/>
      </w:rPr>
    </w:lvl>
    <w:lvl w:ilvl="7" w:tplc="140A0003" w:tentative="1">
      <w:start w:val="1"/>
      <w:numFmt w:val="bullet"/>
      <w:lvlText w:val="o"/>
      <w:lvlJc w:val="left"/>
      <w:pPr>
        <w:ind w:left="6251" w:hanging="360"/>
      </w:pPr>
      <w:rPr>
        <w:rFonts w:ascii="Courier New" w:hAnsi="Courier New" w:cs="Courier New" w:hint="default"/>
      </w:rPr>
    </w:lvl>
    <w:lvl w:ilvl="8" w:tplc="140A0005" w:tentative="1">
      <w:start w:val="1"/>
      <w:numFmt w:val="bullet"/>
      <w:lvlText w:val=""/>
      <w:lvlJc w:val="left"/>
      <w:pPr>
        <w:ind w:left="6971" w:hanging="360"/>
      </w:pPr>
      <w:rPr>
        <w:rFonts w:ascii="Wingdings" w:hAnsi="Wingdings" w:hint="default"/>
      </w:rPr>
    </w:lvl>
  </w:abstractNum>
  <w:num w:numId="1">
    <w:abstractNumId w:val="15"/>
  </w:num>
  <w:num w:numId="2">
    <w:abstractNumId w:val="7"/>
  </w:num>
  <w:num w:numId="3">
    <w:abstractNumId w:val="0"/>
  </w:num>
  <w:num w:numId="4">
    <w:abstractNumId w:val="5"/>
  </w:num>
  <w:num w:numId="5">
    <w:abstractNumId w:val="11"/>
  </w:num>
  <w:num w:numId="6">
    <w:abstractNumId w:val="16"/>
  </w:num>
  <w:num w:numId="7">
    <w:abstractNumId w:val="13"/>
  </w:num>
  <w:num w:numId="8">
    <w:abstractNumId w:val="4"/>
  </w:num>
  <w:num w:numId="9">
    <w:abstractNumId w:val="3"/>
  </w:num>
  <w:num w:numId="10">
    <w:abstractNumId w:val="17"/>
  </w:num>
  <w:num w:numId="11">
    <w:abstractNumId w:val="12"/>
  </w:num>
  <w:num w:numId="12">
    <w:abstractNumId w:val="6"/>
  </w:num>
  <w:num w:numId="13">
    <w:abstractNumId w:val="14"/>
  </w:num>
  <w:num w:numId="14">
    <w:abstractNumId w:val="1"/>
  </w:num>
  <w:num w:numId="15">
    <w:abstractNumId w:val="8"/>
  </w:num>
  <w:num w:numId="16">
    <w:abstractNumId w:val="9"/>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2FF"/>
    <w:rsid w:val="000945E5"/>
    <w:rsid w:val="0013157D"/>
    <w:rsid w:val="00145A17"/>
    <w:rsid w:val="00220BA5"/>
    <w:rsid w:val="00254E20"/>
    <w:rsid w:val="002B3BC3"/>
    <w:rsid w:val="002B7EDC"/>
    <w:rsid w:val="00353708"/>
    <w:rsid w:val="003D687D"/>
    <w:rsid w:val="00522BB2"/>
    <w:rsid w:val="005A1BE1"/>
    <w:rsid w:val="006A1929"/>
    <w:rsid w:val="006E2E39"/>
    <w:rsid w:val="00790811"/>
    <w:rsid w:val="007B55A8"/>
    <w:rsid w:val="007D4FB2"/>
    <w:rsid w:val="009961F3"/>
    <w:rsid w:val="00A57886"/>
    <w:rsid w:val="00A850B9"/>
    <w:rsid w:val="00AD225B"/>
    <w:rsid w:val="00AD4B32"/>
    <w:rsid w:val="00AE6B9F"/>
    <w:rsid w:val="00B063CD"/>
    <w:rsid w:val="00BF7CAA"/>
    <w:rsid w:val="00CA605C"/>
    <w:rsid w:val="00CD5259"/>
    <w:rsid w:val="00CD7530"/>
    <w:rsid w:val="00D007D3"/>
    <w:rsid w:val="00D212FF"/>
    <w:rsid w:val="00D311A0"/>
    <w:rsid w:val="00D8475E"/>
    <w:rsid w:val="00DC5B82"/>
    <w:rsid w:val="00DF7A2F"/>
    <w:rsid w:val="00E47712"/>
    <w:rsid w:val="00E74271"/>
    <w:rsid w:val="00EC0409"/>
    <w:rsid w:val="00FD03E2"/>
    <w:rsid w:val="00FF0859"/>
    <w:rsid w:val="00FF3768"/>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C427E"/>
  <w15:chartTrackingRefBased/>
  <w15:docId w15:val="{020AEF05-75EC-4D03-8346-C5B3C2AE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rsid w:val="00E74271"/>
    <w:rPr>
      <w:sz w:val="16"/>
      <w:szCs w:val="16"/>
    </w:rPr>
  </w:style>
  <w:style w:type="paragraph" w:styleId="Textocomentario">
    <w:name w:val="annotation text"/>
    <w:basedOn w:val="Normal"/>
    <w:link w:val="TextocomentarioCar"/>
    <w:rsid w:val="00E74271"/>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E74271"/>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E742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4271"/>
    <w:rPr>
      <w:rFonts w:ascii="Segoe UI" w:hAnsi="Segoe UI" w:cs="Segoe UI"/>
      <w:sz w:val="18"/>
      <w:szCs w:val="18"/>
    </w:rPr>
  </w:style>
  <w:style w:type="paragraph" w:styleId="Prrafodelista">
    <w:name w:val="List Paragraph"/>
    <w:aliases w:val="Titulo 2,Bullet 1,Use Case List Paragraph"/>
    <w:basedOn w:val="Normal"/>
    <w:link w:val="PrrafodelistaCar"/>
    <w:uiPriority w:val="34"/>
    <w:qFormat/>
    <w:rsid w:val="00E74271"/>
    <w:pPr>
      <w:ind w:left="720"/>
      <w:contextualSpacing/>
    </w:pPr>
    <w:rPr>
      <w:rFonts w:eastAsiaTheme="minorEastAsia"/>
    </w:rPr>
  </w:style>
  <w:style w:type="character" w:customStyle="1" w:styleId="PrrafodelistaCar">
    <w:name w:val="Párrafo de lista Car"/>
    <w:aliases w:val="Titulo 2 Car,Bullet 1 Car,Use Case List Paragraph Car"/>
    <w:link w:val="Prrafodelista"/>
    <w:uiPriority w:val="34"/>
    <w:locked/>
    <w:rsid w:val="00E74271"/>
    <w:rPr>
      <w:rFonts w:eastAsiaTheme="minorEastAsia"/>
    </w:rPr>
  </w:style>
  <w:style w:type="paragraph" w:styleId="Encabezado">
    <w:name w:val="header"/>
    <w:basedOn w:val="Normal"/>
    <w:link w:val="EncabezadoCar"/>
    <w:unhideWhenUsed/>
    <w:rsid w:val="00CD7530"/>
    <w:pPr>
      <w:tabs>
        <w:tab w:val="center" w:pos="4419"/>
        <w:tab w:val="right" w:pos="8838"/>
      </w:tabs>
      <w:spacing w:after="0" w:line="240" w:lineRule="auto"/>
    </w:pPr>
  </w:style>
  <w:style w:type="character" w:customStyle="1" w:styleId="EncabezadoCar">
    <w:name w:val="Encabezado Car"/>
    <w:basedOn w:val="Fuentedeprrafopredeter"/>
    <w:link w:val="Encabezado"/>
    <w:rsid w:val="00CD7530"/>
  </w:style>
  <w:style w:type="paragraph" w:styleId="Piedepgina">
    <w:name w:val="footer"/>
    <w:basedOn w:val="Normal"/>
    <w:link w:val="PiedepginaCar"/>
    <w:unhideWhenUsed/>
    <w:rsid w:val="00CD7530"/>
    <w:pPr>
      <w:tabs>
        <w:tab w:val="center" w:pos="4419"/>
        <w:tab w:val="right" w:pos="8838"/>
      </w:tabs>
      <w:spacing w:after="0" w:line="240" w:lineRule="auto"/>
    </w:pPr>
  </w:style>
  <w:style w:type="character" w:customStyle="1" w:styleId="PiedepginaCar">
    <w:name w:val="Pie de página Car"/>
    <w:basedOn w:val="Fuentedeprrafopredeter"/>
    <w:link w:val="Piedepgina"/>
    <w:rsid w:val="00CD7530"/>
  </w:style>
  <w:style w:type="paragraph" w:styleId="Asuntodelcomentario">
    <w:name w:val="annotation subject"/>
    <w:basedOn w:val="Textocomentario"/>
    <w:next w:val="Textocomentario"/>
    <w:link w:val="AsuntodelcomentarioCar"/>
    <w:uiPriority w:val="99"/>
    <w:semiHidden/>
    <w:unhideWhenUsed/>
    <w:rsid w:val="00CD5259"/>
    <w:pPr>
      <w:spacing w:after="160"/>
    </w:pPr>
    <w:rPr>
      <w:rFonts w:asciiTheme="minorHAnsi" w:eastAsiaTheme="minorHAnsi" w:hAnsiTheme="minorHAnsi" w:cstheme="minorBidi"/>
      <w:b/>
      <w:bCs/>
      <w:lang w:val="es-CR" w:eastAsia="en-US"/>
    </w:rPr>
  </w:style>
  <w:style w:type="character" w:customStyle="1" w:styleId="AsuntodelcomentarioCar">
    <w:name w:val="Asunto del comentario Car"/>
    <w:basedOn w:val="TextocomentarioCar"/>
    <w:link w:val="Asuntodelcomentario"/>
    <w:uiPriority w:val="99"/>
    <w:semiHidden/>
    <w:rsid w:val="00CD5259"/>
    <w:rPr>
      <w:rFonts w:ascii="Times New Roman" w:eastAsia="Times New Roman" w:hAnsi="Times New Roman"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3175</Words>
  <Characters>17467</Characters>
  <Application>Microsoft Office Word</Application>
  <DocSecurity>0</DocSecurity>
  <Lines>145</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Bomberos Costa Rica</Company>
  <LinksUpToDate>false</LinksUpToDate>
  <CharactersWithSpaces>20601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Horacio Salas Bustamante</dc:creator>
  <cp:keywords/>
  <dc:description/>
  <cp:lastModifiedBy>Gabriela Fiatt Fernandez</cp:lastModifiedBy>
  <cp:revision>2</cp:revision>
  <dcterms:created xsi:type="dcterms:W3CDTF">2022-09-29T16:01:00Z</dcterms:created>
  <dcterms:modified xsi:type="dcterms:W3CDTF">2022-09-29T16:01:00Z</dcterms:modified>
</cp:coreProperties>
</file>